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82" w:rsidRDefault="00763382" w:rsidP="00763382">
      <w:pPr>
        <w:pStyle w:val="Heading1"/>
      </w:pPr>
      <w:bookmarkStart w:id="0" w:name="_Ref428798513"/>
      <w:r>
        <w:t>Torres Strait Tropical Rock Lobster Resource Assessment Group</w:t>
      </w:r>
      <w:bookmarkEnd w:id="0"/>
      <w:r w:rsidR="000504BD">
        <w:t xml:space="preserve"> and Working Group</w:t>
      </w:r>
    </w:p>
    <w:p w:rsidR="00763382" w:rsidRDefault="00763382" w:rsidP="00763382">
      <w:pPr>
        <w:pStyle w:val="Subtitle"/>
      </w:pPr>
      <w:r>
        <w:t>Meeting Record</w:t>
      </w:r>
    </w:p>
    <w:p w:rsidR="00033A96" w:rsidRPr="00BF61D2" w:rsidRDefault="004E5AD9" w:rsidP="00033A96">
      <w:pPr>
        <w:pStyle w:val="Subtitle"/>
      </w:pPr>
      <w:r>
        <w:t>1</w:t>
      </w:r>
      <w:r w:rsidR="0084034A">
        <w:t>1 March 2016</w:t>
      </w:r>
    </w:p>
    <w:p w:rsidR="00033A96" w:rsidRDefault="004E5AD9" w:rsidP="00281712">
      <w:pPr>
        <w:pStyle w:val="Subtitle"/>
      </w:pPr>
      <w:r>
        <w:t>Teleconference</w:t>
      </w:r>
    </w:p>
    <w:p w:rsidR="00033A96" w:rsidRDefault="00033A96" w:rsidP="00033A96"/>
    <w:p w:rsidR="000E737E" w:rsidRDefault="000E737E" w:rsidP="000E737E">
      <w:pPr>
        <w:rPr>
          <w:color w:val="FFFFFF" w:themeColor="background1"/>
        </w:rPr>
      </w:pPr>
      <w:r w:rsidRPr="00EB4786">
        <w:rPr>
          <w:color w:val="FFFFFF" w:themeColor="background1"/>
        </w:rPr>
        <w:t>Note all meeting papers and record available on the AFMA and PZJA webpages</w:t>
      </w:r>
      <w:r>
        <w:rPr>
          <w:color w:val="FFFFFF" w:themeColor="background1"/>
        </w:rPr>
        <w:t>:</w:t>
      </w:r>
    </w:p>
    <w:p w:rsidR="000E737E" w:rsidRDefault="000E737E" w:rsidP="000E737E">
      <w:pPr>
        <w:rPr>
          <w:color w:val="FFFFFF" w:themeColor="background1"/>
        </w:rPr>
      </w:pPr>
      <w:r>
        <w:rPr>
          <w:color w:val="FFFFFF" w:themeColor="background1"/>
        </w:rPr>
        <w:t>www.pzja.gov.au</w:t>
      </w:r>
    </w:p>
    <w:p w:rsidR="00033A96" w:rsidRDefault="00033A96" w:rsidP="00033A96"/>
    <w:p w:rsidR="00033A96" w:rsidRDefault="00033A96" w:rsidP="00033A96">
      <w:pPr>
        <w:tabs>
          <w:tab w:val="left" w:pos="1609"/>
        </w:tabs>
      </w:pPr>
      <w:r>
        <w:tab/>
      </w:r>
      <w:r>
        <w:rPr>
          <w:noProof/>
          <w:lang w:eastAsia="en-AU"/>
        </w:rPr>
        <w:drawing>
          <wp:inline distT="0" distB="0" distL="0" distR="0" wp14:anchorId="1638A87E" wp14:editId="16A4B05C">
            <wp:extent cx="3329305" cy="570865"/>
            <wp:effectExtent l="0" t="0" r="0" b="63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-AFMA_inlinestrip_WHI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96" w:rsidRDefault="00033A96" w:rsidP="00033A96"/>
    <w:p w:rsidR="00281712" w:rsidRDefault="00281712" w:rsidP="00033A96"/>
    <w:p w:rsidR="00281712" w:rsidRDefault="00281712" w:rsidP="00033A96"/>
    <w:p w:rsidR="00281712" w:rsidRDefault="00281712" w:rsidP="00033A96">
      <w:pPr>
        <w:sectPr w:rsidR="00281712" w:rsidSect="000E737E">
          <w:headerReference w:type="default" r:id="rId10"/>
          <w:pgSz w:w="11906" w:h="16838" w:code="9"/>
          <w:pgMar w:top="2977" w:right="5103" w:bottom="5103" w:left="1560" w:header="340" w:footer="624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pacing w:val="0"/>
          <w:sz w:val="24"/>
          <w:szCs w:val="22"/>
          <w:lang w:val="en-AU"/>
        </w:rPr>
        <w:id w:val="1856917536"/>
        <w:docPartObj>
          <w:docPartGallery w:val="Table of Contents"/>
          <w:docPartUnique/>
        </w:docPartObj>
      </w:sdtPr>
      <w:sdtEndPr>
        <w:rPr>
          <w:rFonts w:ascii="Arial" w:hAnsi="Arial"/>
          <w:color w:val="333333"/>
          <w:spacing w:val="-4"/>
        </w:rPr>
      </w:sdtEndPr>
      <w:sdtContent>
        <w:p w:rsidR="00033A96" w:rsidRPr="00CD5B36" w:rsidRDefault="00033A96" w:rsidP="00CD5B36">
          <w:pPr>
            <w:pStyle w:val="TOCHeading"/>
            <w:ind w:left="-142"/>
            <w:rPr>
              <w:sz w:val="32"/>
            </w:rPr>
          </w:pPr>
          <w:r w:rsidRPr="00B56F1E">
            <w:rPr>
              <w:sz w:val="32"/>
            </w:rPr>
            <w:t>Contents</w:t>
          </w:r>
        </w:p>
        <w:p w:rsidR="00B70B17" w:rsidRDefault="00033A96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r w:rsidRPr="008A70E1">
            <w:rPr>
              <w:rFonts w:asciiTheme="minorHAnsi" w:hAnsiTheme="minorHAnsi" w:cstheme="minorHAnsi"/>
              <w:color w:val="auto"/>
              <w:szCs w:val="24"/>
            </w:rPr>
            <w:fldChar w:fldCharType="begin"/>
          </w:r>
          <w:r w:rsidRPr="008A70E1">
            <w:rPr>
              <w:rFonts w:asciiTheme="minorHAnsi" w:hAnsiTheme="minorHAnsi" w:cstheme="minorHAnsi"/>
              <w:color w:val="auto"/>
              <w:szCs w:val="24"/>
            </w:rPr>
            <w:instrText xml:space="preserve"> TOC \h \z \t "Heading 2,1,Heading 3,2,Heading 4,3,Title,1,Heading 2 - Numbered,1,Heading 3  - Numbered,2,Heading 4 - Numbered,3" </w:instrText>
          </w:r>
          <w:r w:rsidRPr="008A70E1">
            <w:rPr>
              <w:rFonts w:asciiTheme="minorHAnsi" w:hAnsiTheme="minorHAnsi" w:cstheme="minorHAnsi"/>
              <w:color w:val="auto"/>
              <w:szCs w:val="24"/>
            </w:rPr>
            <w:fldChar w:fldCharType="separate"/>
          </w:r>
          <w:hyperlink w:anchor="_Toc446598457" w:history="1">
            <w:r w:rsidR="00B70B17" w:rsidRPr="008365C6">
              <w:rPr>
                <w:rStyle w:val="Hyperlink"/>
                <w:noProof/>
              </w:rPr>
              <w:t>Meeting Participants</w:t>
            </w:r>
            <w:r w:rsidR="00B70B17">
              <w:rPr>
                <w:noProof/>
                <w:webHidden/>
              </w:rPr>
              <w:tab/>
            </w:r>
            <w:r w:rsidR="00B70B17">
              <w:rPr>
                <w:noProof/>
                <w:webHidden/>
              </w:rPr>
              <w:fldChar w:fldCharType="begin"/>
            </w:r>
            <w:r w:rsidR="00B70B17">
              <w:rPr>
                <w:noProof/>
                <w:webHidden/>
              </w:rPr>
              <w:instrText xml:space="preserve"> PAGEREF _Toc446598457 \h </w:instrText>
            </w:r>
            <w:r w:rsidR="00B70B17">
              <w:rPr>
                <w:noProof/>
                <w:webHidden/>
              </w:rPr>
            </w:r>
            <w:r w:rsidR="00B70B17">
              <w:rPr>
                <w:noProof/>
                <w:webHidden/>
              </w:rPr>
              <w:fldChar w:fldCharType="separate"/>
            </w:r>
            <w:r w:rsidR="00B70B17">
              <w:rPr>
                <w:noProof/>
                <w:webHidden/>
              </w:rPr>
              <w:t>3</w:t>
            </w:r>
            <w:r w:rsidR="00B70B17">
              <w:rPr>
                <w:noProof/>
                <w:webHidden/>
              </w:rPr>
              <w:fldChar w:fldCharType="end"/>
            </w:r>
          </w:hyperlink>
        </w:p>
        <w:p w:rsidR="00B70B17" w:rsidRDefault="00B70B17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46598458" w:history="1">
            <w:r w:rsidRPr="008365C6">
              <w:rPr>
                <w:rStyle w:val="Hyperlink"/>
                <w:noProof/>
              </w:rPr>
              <w:t>Action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_Toc446598458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B17" w:rsidRDefault="00B70B17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46598459" w:history="1">
            <w:r w:rsidRPr="008365C6">
              <w:rPr>
                <w:rStyle w:val="Hyperlink"/>
                <w:noProof/>
              </w:rPr>
              <w:t>Preliminaries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_Toc446598459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B17" w:rsidRDefault="00B70B1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46598460" w:history="1">
            <w:r w:rsidRPr="008365C6">
              <w:rPr>
                <w:rStyle w:val="Hyperlink"/>
                <w:noProof/>
              </w:rPr>
              <w:t>Apologies / declaration of interest / Adoption of Agenda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_Toc446598460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B17" w:rsidRDefault="00B70B17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46598461" w:history="1">
            <w:r w:rsidRPr="008365C6">
              <w:rPr>
                <w:rStyle w:val="Hyperlink"/>
                <w:noProof/>
              </w:rPr>
              <w:t>Agenda Item 1 – Torres Strait TRL fishery surveys, stock assessment, harvest control rules and recommended biological catch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_Toc446598461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B17" w:rsidRDefault="00B70B17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46598462" w:history="1">
            <w:r w:rsidRPr="008365C6">
              <w:rPr>
                <w:rStyle w:val="Hyperlink"/>
                <w:noProof/>
              </w:rPr>
              <w:t>Agenda Item 2 – Development and opportunities for the Torres Strait TIB sector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_Toc446598462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0B17" w:rsidRDefault="00B70B17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46598463" w:history="1">
            <w:r w:rsidRPr="008365C6">
              <w:rPr>
                <w:rStyle w:val="Hyperlink"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_Toc446598463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3A96" w:rsidRPr="003D5B53" w:rsidRDefault="00033A96" w:rsidP="00426BFC">
          <w:pPr>
            <w:pStyle w:val="TOC1"/>
            <w:tabs>
              <w:tab w:val="right" w:leader="dot" w:pos="10054"/>
            </w:tabs>
          </w:pPr>
          <w:r w:rsidRPr="008A70E1">
            <w:fldChar w:fldCharType="end"/>
          </w:r>
        </w:p>
      </w:sdtContent>
    </w:sdt>
    <w:p w:rsidR="00063747" w:rsidRDefault="00063747">
      <w:pPr>
        <w:spacing w:before="0" w:after="200"/>
        <w:rPr>
          <w:rFonts w:eastAsiaTheme="majorEastAsia" w:cstheme="majorHAnsi"/>
          <w:b/>
          <w:bCs/>
          <w:color w:val="093E52"/>
          <w:spacing w:val="-4"/>
          <w:sz w:val="34"/>
          <w:szCs w:val="32"/>
        </w:rPr>
      </w:pPr>
      <w:r>
        <w:br w:type="page"/>
      </w:r>
    </w:p>
    <w:p w:rsidR="00281712" w:rsidRDefault="00281712" w:rsidP="00281712">
      <w:pPr>
        <w:pStyle w:val="Heading2"/>
      </w:pPr>
      <w:bookmarkStart w:id="1" w:name="_Toc446598457"/>
      <w:r>
        <w:lastRenderedPageBreak/>
        <w:t>Meeting Participants</w:t>
      </w:r>
      <w:bookmarkEnd w:id="1"/>
    </w:p>
    <w:p w:rsidR="005C1F14" w:rsidRPr="00306953" w:rsidRDefault="005C1F14" w:rsidP="00281712"/>
    <w:tbl>
      <w:tblPr>
        <w:tblStyle w:val="AFMA-default"/>
        <w:tblpPr w:leftFromText="180" w:rightFromText="180" w:vertAnchor="page" w:horzAnchor="margin" w:tblpY="2264"/>
        <w:tblW w:w="5000" w:type="pct"/>
        <w:tblLook w:val="04A0" w:firstRow="1" w:lastRow="0" w:firstColumn="1" w:lastColumn="0" w:noHBand="0" w:noVBand="1"/>
      </w:tblPr>
      <w:tblGrid>
        <w:gridCol w:w="3605"/>
        <w:gridCol w:w="6249"/>
      </w:tblGrid>
      <w:tr w:rsidR="00063747" w:rsidTr="00063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9" w:type="pct"/>
          </w:tcPr>
          <w:p w:rsidR="00063747" w:rsidRPr="005C1F14" w:rsidRDefault="00063747" w:rsidP="0006374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71" w:type="pct"/>
          </w:tcPr>
          <w:p w:rsidR="00063747" w:rsidRPr="005C1F14" w:rsidRDefault="00063747" w:rsidP="00063747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</w:tr>
      <w:tr w:rsidR="00063747" w:rsidTr="00063747">
        <w:tc>
          <w:tcPr>
            <w:tcW w:w="5000" w:type="pct"/>
            <w:gridSpan w:val="2"/>
          </w:tcPr>
          <w:p w:rsidR="00063747" w:rsidRPr="00063747" w:rsidRDefault="00063747" w:rsidP="00063747">
            <w:pPr>
              <w:rPr>
                <w:b/>
              </w:rPr>
            </w:pPr>
            <w:r w:rsidRPr="00063747">
              <w:rPr>
                <w:b/>
              </w:rPr>
              <w:t>MEMBERS</w:t>
            </w:r>
          </w:p>
        </w:tc>
      </w:tr>
      <w:tr w:rsidR="0084034A" w:rsidTr="00063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84034A" w:rsidRDefault="0084034A" w:rsidP="0084034A">
            <w:r>
              <w:t xml:space="preserve">Selina </w:t>
            </w:r>
            <w:proofErr w:type="spellStart"/>
            <w:r>
              <w:t>Stoute</w:t>
            </w:r>
            <w:proofErr w:type="spellEnd"/>
            <w:r>
              <w:t xml:space="preserve"> </w:t>
            </w:r>
          </w:p>
        </w:tc>
        <w:tc>
          <w:tcPr>
            <w:tcW w:w="3171" w:type="pct"/>
          </w:tcPr>
          <w:p w:rsidR="0084034A" w:rsidRDefault="0084034A" w:rsidP="0084034A">
            <w:r>
              <w:t>AFMA Member</w:t>
            </w:r>
          </w:p>
        </w:tc>
      </w:tr>
      <w:tr w:rsidR="0084034A" w:rsidTr="00063747">
        <w:tc>
          <w:tcPr>
            <w:tcW w:w="1829" w:type="pct"/>
          </w:tcPr>
          <w:p w:rsidR="0084034A" w:rsidRDefault="0084034A" w:rsidP="0084034A">
            <w:r>
              <w:t>Dean Pease</w:t>
            </w:r>
          </w:p>
        </w:tc>
        <w:tc>
          <w:tcPr>
            <w:tcW w:w="3171" w:type="pct"/>
          </w:tcPr>
          <w:p w:rsidR="0084034A" w:rsidRDefault="0084034A" w:rsidP="0084034A">
            <w:r>
              <w:t>AFMA, Executive Officer</w:t>
            </w:r>
          </w:p>
        </w:tc>
      </w:tr>
      <w:tr w:rsidR="0084034A" w:rsidTr="00063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84034A" w:rsidRDefault="0084034A" w:rsidP="0084034A">
            <w:r>
              <w:t xml:space="preserve">Eva </w:t>
            </w:r>
            <w:proofErr w:type="spellStart"/>
            <w:r>
              <w:t>Plaganyi</w:t>
            </w:r>
            <w:proofErr w:type="spellEnd"/>
          </w:p>
        </w:tc>
        <w:tc>
          <w:tcPr>
            <w:tcW w:w="3171" w:type="pct"/>
          </w:tcPr>
          <w:p w:rsidR="0084034A" w:rsidRDefault="0084034A" w:rsidP="0084034A">
            <w:r>
              <w:t>CSIRO Scientific Member (TRLRAG)</w:t>
            </w:r>
          </w:p>
        </w:tc>
      </w:tr>
      <w:tr w:rsidR="0084034A" w:rsidTr="00063747">
        <w:tc>
          <w:tcPr>
            <w:tcW w:w="1829" w:type="pct"/>
          </w:tcPr>
          <w:p w:rsidR="0084034A" w:rsidRDefault="0084034A" w:rsidP="0084034A">
            <w:r>
              <w:t>Tom Roberts</w:t>
            </w:r>
          </w:p>
        </w:tc>
        <w:tc>
          <w:tcPr>
            <w:tcW w:w="3171" w:type="pct"/>
          </w:tcPr>
          <w:p w:rsidR="0084034A" w:rsidRDefault="0084034A" w:rsidP="0084034A">
            <w:r>
              <w:t>QDAF Member</w:t>
            </w:r>
          </w:p>
        </w:tc>
      </w:tr>
      <w:tr w:rsidR="0084034A" w:rsidTr="00063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84034A" w:rsidRDefault="0084034A" w:rsidP="0084034A">
            <w:proofErr w:type="spellStart"/>
            <w:r>
              <w:t>Nokome</w:t>
            </w:r>
            <w:proofErr w:type="spellEnd"/>
            <w:r>
              <w:t xml:space="preserve"> Bentley</w:t>
            </w:r>
          </w:p>
        </w:tc>
        <w:tc>
          <w:tcPr>
            <w:tcW w:w="3171" w:type="pct"/>
          </w:tcPr>
          <w:p w:rsidR="0084034A" w:rsidRDefault="0084034A" w:rsidP="0084034A">
            <w:r>
              <w:t>Independent Scientific Member</w:t>
            </w:r>
          </w:p>
        </w:tc>
      </w:tr>
      <w:tr w:rsidR="0084034A" w:rsidTr="00063747">
        <w:tc>
          <w:tcPr>
            <w:tcW w:w="1829" w:type="pct"/>
          </w:tcPr>
          <w:p w:rsidR="0084034A" w:rsidRDefault="0084034A" w:rsidP="0084034A">
            <w:r>
              <w:t>Mark David</w:t>
            </w:r>
          </w:p>
        </w:tc>
        <w:tc>
          <w:tcPr>
            <w:tcW w:w="3171" w:type="pct"/>
          </w:tcPr>
          <w:p w:rsidR="0084034A" w:rsidRDefault="0084034A" w:rsidP="0084034A">
            <w:r>
              <w:t>Industry Member</w:t>
            </w:r>
          </w:p>
        </w:tc>
      </w:tr>
      <w:tr w:rsidR="0084034A" w:rsidTr="00063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84034A" w:rsidRDefault="0084034A" w:rsidP="0084034A">
            <w:r>
              <w:t xml:space="preserve">Terrence </w:t>
            </w:r>
            <w:proofErr w:type="spellStart"/>
            <w:r>
              <w:t>Whap</w:t>
            </w:r>
            <w:proofErr w:type="spellEnd"/>
          </w:p>
        </w:tc>
        <w:tc>
          <w:tcPr>
            <w:tcW w:w="3171" w:type="pct"/>
          </w:tcPr>
          <w:p w:rsidR="0084034A" w:rsidRDefault="0084034A" w:rsidP="0084034A">
            <w:r>
              <w:t>Industry Member</w:t>
            </w:r>
          </w:p>
        </w:tc>
      </w:tr>
      <w:tr w:rsidR="0084034A" w:rsidTr="00063747">
        <w:tc>
          <w:tcPr>
            <w:tcW w:w="1829" w:type="pct"/>
          </w:tcPr>
          <w:p w:rsidR="0084034A" w:rsidRDefault="0084034A" w:rsidP="0084034A">
            <w:r>
              <w:t>Luke Dillon</w:t>
            </w:r>
          </w:p>
        </w:tc>
        <w:tc>
          <w:tcPr>
            <w:tcW w:w="3171" w:type="pct"/>
          </w:tcPr>
          <w:p w:rsidR="0084034A" w:rsidRDefault="0084034A" w:rsidP="0084034A">
            <w:r>
              <w:t>Industry Member</w:t>
            </w:r>
          </w:p>
        </w:tc>
      </w:tr>
      <w:tr w:rsidR="0084034A" w:rsidTr="00063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84034A" w:rsidRDefault="0084034A" w:rsidP="0084034A"/>
        </w:tc>
        <w:tc>
          <w:tcPr>
            <w:tcW w:w="3171" w:type="pct"/>
          </w:tcPr>
          <w:p w:rsidR="0084034A" w:rsidRDefault="0084034A" w:rsidP="0084034A"/>
        </w:tc>
      </w:tr>
      <w:tr w:rsidR="0084034A" w:rsidTr="00063747">
        <w:tc>
          <w:tcPr>
            <w:tcW w:w="5000" w:type="pct"/>
            <w:gridSpan w:val="2"/>
          </w:tcPr>
          <w:p w:rsidR="0084034A" w:rsidRDefault="0084034A" w:rsidP="0084034A">
            <w:r>
              <w:rPr>
                <w:b/>
              </w:rPr>
              <w:t>OBSERVERS</w:t>
            </w:r>
          </w:p>
        </w:tc>
      </w:tr>
      <w:tr w:rsidR="0084034A" w:rsidTr="00063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84034A" w:rsidRDefault="0084034A" w:rsidP="0084034A">
            <w:r>
              <w:t>Ray Moore</w:t>
            </w:r>
          </w:p>
        </w:tc>
        <w:tc>
          <w:tcPr>
            <w:tcW w:w="3171" w:type="pct"/>
          </w:tcPr>
          <w:p w:rsidR="0084034A" w:rsidRDefault="0084034A" w:rsidP="0084034A">
            <w:r>
              <w:t>Industry Observer</w:t>
            </w:r>
          </w:p>
        </w:tc>
      </w:tr>
      <w:tr w:rsidR="0084034A" w:rsidTr="00063747">
        <w:tc>
          <w:tcPr>
            <w:tcW w:w="1829" w:type="pct"/>
          </w:tcPr>
          <w:p w:rsidR="0084034A" w:rsidRDefault="0084034A" w:rsidP="0084034A">
            <w:r>
              <w:t>Suzannah Salam</w:t>
            </w:r>
          </w:p>
        </w:tc>
        <w:tc>
          <w:tcPr>
            <w:tcW w:w="3171" w:type="pct"/>
          </w:tcPr>
          <w:p w:rsidR="0084034A" w:rsidRDefault="0084034A" w:rsidP="0084034A">
            <w:r>
              <w:t>Industry Observer</w:t>
            </w:r>
          </w:p>
        </w:tc>
      </w:tr>
    </w:tbl>
    <w:p w:rsidR="001F1ACD" w:rsidRDefault="001F1ACD" w:rsidP="00281712">
      <w:pPr>
        <w:rPr>
          <w:b/>
        </w:rPr>
      </w:pPr>
    </w:p>
    <w:p w:rsidR="00266C90" w:rsidRDefault="00266C90" w:rsidP="00266C90">
      <w:pPr>
        <w:pStyle w:val="Heading2"/>
      </w:pPr>
      <w:bookmarkStart w:id="2" w:name="_Toc446598458"/>
      <w:r>
        <w:t>Action Items</w:t>
      </w:r>
      <w:bookmarkEnd w:id="2"/>
    </w:p>
    <w:tbl>
      <w:tblPr>
        <w:tblStyle w:val="AFMA-default"/>
        <w:tblpPr w:leftFromText="180" w:rightFromText="180" w:vertAnchor="page" w:horzAnchor="margin" w:tblpY="2264"/>
        <w:tblW w:w="5000" w:type="pct"/>
        <w:tblLook w:val="04A0" w:firstRow="1" w:lastRow="0" w:firstColumn="1" w:lastColumn="0" w:noHBand="0" w:noVBand="1"/>
      </w:tblPr>
      <w:tblGrid>
        <w:gridCol w:w="3605"/>
        <w:gridCol w:w="6249"/>
      </w:tblGrid>
      <w:tr w:rsidR="00266C90" w:rsidTr="008E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9" w:type="pct"/>
          </w:tcPr>
          <w:p w:rsidR="00266C90" w:rsidRPr="005C1F14" w:rsidRDefault="00266C90" w:rsidP="008E5B5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71" w:type="pct"/>
          </w:tcPr>
          <w:p w:rsidR="00266C90" w:rsidRPr="005C1F14" w:rsidRDefault="00266C90" w:rsidP="008E5B5E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</w:tr>
      <w:tr w:rsidR="00266C90" w:rsidTr="008E5B5E">
        <w:tc>
          <w:tcPr>
            <w:tcW w:w="5000" w:type="pct"/>
            <w:gridSpan w:val="2"/>
          </w:tcPr>
          <w:p w:rsidR="00266C90" w:rsidRPr="00063747" w:rsidRDefault="00266C90" w:rsidP="008E5B5E">
            <w:pPr>
              <w:rPr>
                <w:b/>
              </w:rPr>
            </w:pPr>
            <w:r w:rsidRPr="00063747">
              <w:rPr>
                <w:b/>
              </w:rPr>
              <w:t>MEMBERS</w:t>
            </w:r>
          </w:p>
        </w:tc>
      </w:tr>
      <w:tr w:rsidR="00266C90" w:rsidTr="008E5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266C90" w:rsidRDefault="00266C90" w:rsidP="008E5B5E">
            <w:r>
              <w:t xml:space="preserve">Selina </w:t>
            </w:r>
            <w:proofErr w:type="spellStart"/>
            <w:r>
              <w:t>Stoute</w:t>
            </w:r>
            <w:proofErr w:type="spellEnd"/>
            <w:r>
              <w:t xml:space="preserve"> </w:t>
            </w:r>
          </w:p>
        </w:tc>
        <w:tc>
          <w:tcPr>
            <w:tcW w:w="3171" w:type="pct"/>
          </w:tcPr>
          <w:p w:rsidR="00266C90" w:rsidRDefault="00266C90" w:rsidP="008E5B5E">
            <w:r>
              <w:t>AFMA Member</w:t>
            </w:r>
          </w:p>
        </w:tc>
      </w:tr>
      <w:tr w:rsidR="00266C90" w:rsidTr="008E5B5E">
        <w:tc>
          <w:tcPr>
            <w:tcW w:w="1829" w:type="pct"/>
          </w:tcPr>
          <w:p w:rsidR="00266C90" w:rsidRDefault="00266C90" w:rsidP="008E5B5E">
            <w:r>
              <w:t>Dean Pease</w:t>
            </w:r>
          </w:p>
        </w:tc>
        <w:tc>
          <w:tcPr>
            <w:tcW w:w="3171" w:type="pct"/>
          </w:tcPr>
          <w:p w:rsidR="00266C90" w:rsidRDefault="00266C90" w:rsidP="008E5B5E">
            <w:r>
              <w:t>AFMA, Executive Officer</w:t>
            </w:r>
          </w:p>
        </w:tc>
      </w:tr>
      <w:tr w:rsidR="00266C90" w:rsidTr="008E5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266C90" w:rsidRDefault="00266C90" w:rsidP="008E5B5E">
            <w:r>
              <w:t xml:space="preserve">Eva </w:t>
            </w:r>
            <w:proofErr w:type="spellStart"/>
            <w:r>
              <w:t>Plaganyi</w:t>
            </w:r>
            <w:proofErr w:type="spellEnd"/>
          </w:p>
        </w:tc>
        <w:tc>
          <w:tcPr>
            <w:tcW w:w="3171" w:type="pct"/>
          </w:tcPr>
          <w:p w:rsidR="00266C90" w:rsidRDefault="00266C90" w:rsidP="008E5B5E">
            <w:r>
              <w:t>CSIRO Scientific Member (TRLRAG)</w:t>
            </w:r>
          </w:p>
        </w:tc>
      </w:tr>
      <w:tr w:rsidR="00266C90" w:rsidTr="008E5B5E">
        <w:tc>
          <w:tcPr>
            <w:tcW w:w="1829" w:type="pct"/>
          </w:tcPr>
          <w:p w:rsidR="00266C90" w:rsidRDefault="00266C90" w:rsidP="008E5B5E">
            <w:r>
              <w:t>Tom Roberts</w:t>
            </w:r>
          </w:p>
        </w:tc>
        <w:tc>
          <w:tcPr>
            <w:tcW w:w="3171" w:type="pct"/>
          </w:tcPr>
          <w:p w:rsidR="00266C90" w:rsidRDefault="00266C90" w:rsidP="008E5B5E">
            <w:r>
              <w:t>QDAF Member</w:t>
            </w:r>
          </w:p>
        </w:tc>
      </w:tr>
      <w:tr w:rsidR="00266C90" w:rsidTr="008E5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266C90" w:rsidRDefault="00266C90" w:rsidP="008E5B5E">
            <w:proofErr w:type="spellStart"/>
            <w:r>
              <w:t>Nokome</w:t>
            </w:r>
            <w:proofErr w:type="spellEnd"/>
            <w:r>
              <w:t xml:space="preserve"> Bentley</w:t>
            </w:r>
          </w:p>
        </w:tc>
        <w:tc>
          <w:tcPr>
            <w:tcW w:w="3171" w:type="pct"/>
          </w:tcPr>
          <w:p w:rsidR="00266C90" w:rsidRDefault="00266C90" w:rsidP="008E5B5E">
            <w:r>
              <w:t>Independent Scientific Member</w:t>
            </w:r>
          </w:p>
        </w:tc>
      </w:tr>
      <w:tr w:rsidR="00266C90" w:rsidTr="008E5B5E">
        <w:tc>
          <w:tcPr>
            <w:tcW w:w="1829" w:type="pct"/>
          </w:tcPr>
          <w:p w:rsidR="00266C90" w:rsidRDefault="00266C90" w:rsidP="008E5B5E">
            <w:r>
              <w:t>Mark David</w:t>
            </w:r>
          </w:p>
        </w:tc>
        <w:tc>
          <w:tcPr>
            <w:tcW w:w="3171" w:type="pct"/>
          </w:tcPr>
          <w:p w:rsidR="00266C90" w:rsidRDefault="00266C90" w:rsidP="008E5B5E">
            <w:r>
              <w:t>Industry Member</w:t>
            </w:r>
          </w:p>
        </w:tc>
      </w:tr>
      <w:tr w:rsidR="00266C90" w:rsidTr="008E5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9" w:type="pct"/>
          </w:tcPr>
          <w:p w:rsidR="00266C90" w:rsidRDefault="00266C90" w:rsidP="008E5B5E">
            <w:r>
              <w:t xml:space="preserve">Terrence </w:t>
            </w:r>
            <w:proofErr w:type="spellStart"/>
            <w:r>
              <w:t>Whap</w:t>
            </w:r>
            <w:proofErr w:type="spellEnd"/>
          </w:p>
        </w:tc>
        <w:tc>
          <w:tcPr>
            <w:tcW w:w="3171" w:type="pct"/>
          </w:tcPr>
          <w:p w:rsidR="00266C90" w:rsidRDefault="00266C90" w:rsidP="008E5B5E">
            <w:r>
              <w:t>Industry Member</w:t>
            </w:r>
          </w:p>
        </w:tc>
      </w:tr>
    </w:tbl>
    <w:tbl>
      <w:tblPr>
        <w:tblStyle w:val="AFMA-default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2F0F67" w:rsidTr="002F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:rsidR="002F0F67" w:rsidRPr="002F0F67" w:rsidRDefault="002F0F67">
            <w:pPr>
              <w:rPr>
                <w:b/>
              </w:rPr>
            </w:pPr>
            <w:r w:rsidRPr="002F0F67">
              <w:rPr>
                <w:b/>
              </w:rPr>
              <w:t>Number</w:t>
            </w:r>
          </w:p>
        </w:tc>
        <w:tc>
          <w:tcPr>
            <w:tcW w:w="8186" w:type="dxa"/>
          </w:tcPr>
          <w:p w:rsidR="002F0F67" w:rsidRPr="002F0F67" w:rsidRDefault="002F0F67">
            <w:pPr>
              <w:rPr>
                <w:b/>
              </w:rPr>
            </w:pPr>
            <w:r w:rsidRPr="002F0F67">
              <w:rPr>
                <w:b/>
              </w:rPr>
              <w:t>Action</w:t>
            </w:r>
          </w:p>
        </w:tc>
      </w:tr>
      <w:tr w:rsidR="002F0F67" w:rsidTr="002F0F67">
        <w:tc>
          <w:tcPr>
            <w:tcW w:w="1668" w:type="dxa"/>
          </w:tcPr>
          <w:p w:rsidR="002F0F67" w:rsidRPr="002F0F67" w:rsidRDefault="002F0F67" w:rsidP="002F0F67">
            <w:pPr>
              <w:pStyle w:val="ListParagraph"/>
              <w:numPr>
                <w:ilvl w:val="0"/>
                <w:numId w:val="41"/>
              </w:numPr>
            </w:pPr>
            <w:bookmarkStart w:id="3" w:name="_GoBack" w:colFirst="1" w:colLast="1"/>
          </w:p>
        </w:tc>
        <w:tc>
          <w:tcPr>
            <w:tcW w:w="8186" w:type="dxa"/>
          </w:tcPr>
          <w:p w:rsidR="002F0F67" w:rsidRDefault="002F0F67" w:rsidP="006C1503">
            <w:r w:rsidRPr="002F0F67">
              <w:t xml:space="preserve">CSIRO to </w:t>
            </w:r>
            <w:r w:rsidR="006C1503" w:rsidRPr="002F0F67">
              <w:t xml:space="preserve">amend the </w:t>
            </w:r>
            <w:r w:rsidR="006C1503">
              <w:t xml:space="preserve">research </w:t>
            </w:r>
            <w:r w:rsidR="006C1503" w:rsidRPr="002F0F67">
              <w:t xml:space="preserve">proposal </w:t>
            </w:r>
            <w:r w:rsidR="006C1503">
              <w:t>for fishery surveys, stock assessment and harvest strategy to account for TRLRAG and TRLWG recommendations.</w:t>
            </w:r>
          </w:p>
        </w:tc>
      </w:tr>
      <w:tr w:rsidR="002F0F67" w:rsidTr="002F0F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dxa"/>
          </w:tcPr>
          <w:p w:rsidR="002F0F67" w:rsidRPr="002F0F67" w:rsidRDefault="002F0F67" w:rsidP="002F0F67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186" w:type="dxa"/>
          </w:tcPr>
          <w:p w:rsidR="002F0F67" w:rsidRPr="002F0F67" w:rsidRDefault="002826F5" w:rsidP="002826F5">
            <w:pPr>
              <w:spacing w:before="0" w:after="0"/>
              <w:jc w:val="both"/>
            </w:pPr>
            <w:r w:rsidRPr="002826F5">
              <w:t>AFMA to follow up with the Torres Strait Regional Authority (TSRA) Land and Seas Management Unit (LSMU) regarding opportunities to combine seagrass monitoring programs to reduce overall research costs.</w:t>
            </w:r>
          </w:p>
        </w:tc>
      </w:tr>
      <w:tr w:rsidR="002F0F67" w:rsidTr="002F0F67">
        <w:tc>
          <w:tcPr>
            <w:tcW w:w="1668" w:type="dxa"/>
          </w:tcPr>
          <w:p w:rsidR="002F0F67" w:rsidRPr="002F0F67" w:rsidRDefault="002F0F67" w:rsidP="002F0F67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8186" w:type="dxa"/>
          </w:tcPr>
          <w:p w:rsidR="002F0F67" w:rsidRDefault="002826F5" w:rsidP="002826F5">
            <w:pPr>
              <w:spacing w:before="0" w:after="0"/>
              <w:jc w:val="both"/>
            </w:pPr>
            <w:r w:rsidRPr="002826F5">
              <w:rPr>
                <w:rFonts w:cs="Arial"/>
              </w:rPr>
              <w:t>The QDAF Member to circulate to the TRLRAG and TRLWG members the contact details Queensland Department of Agriculture and Fisheries officer responsible for aquaculture.</w:t>
            </w:r>
          </w:p>
        </w:tc>
      </w:tr>
      <w:bookmarkEnd w:id="3"/>
    </w:tbl>
    <w:p w:rsidR="002826F5" w:rsidRPr="002826F5" w:rsidRDefault="002826F5" w:rsidP="002826F5"/>
    <w:p w:rsidR="002826F5" w:rsidRDefault="002826F5">
      <w:pPr>
        <w:spacing w:before="0" w:after="200"/>
        <w:rPr>
          <w:rFonts w:eastAsiaTheme="majorEastAsia" w:cstheme="majorHAnsi"/>
          <w:b/>
          <w:bCs/>
          <w:color w:val="093E52"/>
          <w:spacing w:val="-4"/>
          <w:sz w:val="34"/>
          <w:szCs w:val="32"/>
        </w:rPr>
      </w:pPr>
      <w:r>
        <w:br w:type="page"/>
      </w:r>
    </w:p>
    <w:p w:rsidR="002B2655" w:rsidRDefault="00F61492" w:rsidP="00B56F1E">
      <w:pPr>
        <w:pStyle w:val="Heading2"/>
        <w:spacing w:before="0" w:after="0"/>
      </w:pPr>
      <w:bookmarkStart w:id="4" w:name="_Toc446598459"/>
      <w:r>
        <w:lastRenderedPageBreak/>
        <w:t>Preliminaries</w:t>
      </w:r>
      <w:bookmarkEnd w:id="4"/>
    </w:p>
    <w:p w:rsidR="002B2655" w:rsidRDefault="002B2655" w:rsidP="00AA0A0A">
      <w:pPr>
        <w:pStyle w:val="Heading3"/>
        <w:spacing w:before="0" w:after="0"/>
      </w:pPr>
      <w:bookmarkStart w:id="5" w:name="_Toc446598460"/>
      <w:r>
        <w:t xml:space="preserve">Apologies / </w:t>
      </w:r>
      <w:r w:rsidR="000504BD">
        <w:t xml:space="preserve">declaration of interest / </w:t>
      </w:r>
      <w:r>
        <w:t>Adoption of Agenda</w:t>
      </w:r>
      <w:bookmarkEnd w:id="5"/>
    </w:p>
    <w:p w:rsidR="00B56F1E" w:rsidRDefault="00B56F1E" w:rsidP="00B56F1E">
      <w:pPr>
        <w:spacing w:before="0" w:after="0"/>
        <w:jc w:val="both"/>
      </w:pPr>
    </w:p>
    <w:p w:rsidR="00921323" w:rsidRPr="00921323" w:rsidRDefault="002B2655" w:rsidP="00B56F1E">
      <w:pPr>
        <w:spacing w:before="0" w:after="0"/>
        <w:jc w:val="both"/>
        <w:rPr>
          <w:b/>
        </w:rPr>
      </w:pPr>
      <w:r w:rsidRPr="00B56F1E">
        <w:t xml:space="preserve">Apologies were received from </w:t>
      </w:r>
      <w:r w:rsidR="00921323">
        <w:t xml:space="preserve">John Pollock (Current TRLRAG Chair) Ian </w:t>
      </w:r>
      <w:proofErr w:type="spellStart"/>
      <w:r w:rsidR="00921323">
        <w:t>Knuckey</w:t>
      </w:r>
      <w:proofErr w:type="spellEnd"/>
      <w:r w:rsidR="00921323">
        <w:t xml:space="preserve"> (newly appointed TRLRAG Chair), Darren Dennis (CSIRO Scientific Member), Brett </w:t>
      </w:r>
      <w:proofErr w:type="spellStart"/>
      <w:r w:rsidR="00921323">
        <w:t>Arlidge</w:t>
      </w:r>
      <w:proofErr w:type="spellEnd"/>
      <w:r w:rsidR="00921323">
        <w:t xml:space="preserve"> (Industry Member), Mark Dean (Industry Member), Les Pitt (Industry Member), Aaron Tom (Industry Member), </w:t>
      </w:r>
      <w:r w:rsidR="00921323" w:rsidRPr="00B56F1E">
        <w:t xml:space="preserve">Phillip </w:t>
      </w:r>
      <w:proofErr w:type="spellStart"/>
      <w:r w:rsidR="00921323" w:rsidRPr="00B56F1E">
        <w:t>Ketchell</w:t>
      </w:r>
      <w:proofErr w:type="spellEnd"/>
      <w:r w:rsidR="00921323">
        <w:t xml:space="preserve"> (Industry Member), John Ramsay (TSRA Member), </w:t>
      </w:r>
      <w:proofErr w:type="gramStart"/>
      <w:r w:rsidR="00921323">
        <w:t>Kenny</w:t>
      </w:r>
      <w:proofErr w:type="gramEnd"/>
      <w:r w:rsidR="00921323">
        <w:t xml:space="preserve"> Bedford (TSRA fisheries portfolio observer).</w:t>
      </w:r>
    </w:p>
    <w:p w:rsidR="005D339B" w:rsidRPr="001F1ACD" w:rsidRDefault="005D339B" w:rsidP="00B56F1E">
      <w:pPr>
        <w:spacing w:before="0" w:after="0"/>
        <w:jc w:val="both"/>
      </w:pPr>
    </w:p>
    <w:p w:rsidR="00921323" w:rsidRDefault="005D339B" w:rsidP="00B56F1E">
      <w:pPr>
        <w:spacing w:before="0" w:after="0"/>
        <w:jc w:val="both"/>
      </w:pPr>
      <w:r w:rsidRPr="005D339B">
        <w:t xml:space="preserve">The TRLRAG and </w:t>
      </w:r>
      <w:r w:rsidR="00921323">
        <w:t>Working Group</w:t>
      </w:r>
      <w:r w:rsidRPr="005D339B">
        <w:t xml:space="preserve"> </w:t>
      </w:r>
      <w:r w:rsidR="007D6A68">
        <w:t xml:space="preserve">noted </w:t>
      </w:r>
      <w:r>
        <w:t xml:space="preserve">the </w:t>
      </w:r>
      <w:r w:rsidR="007D6A68">
        <w:t xml:space="preserve">potential </w:t>
      </w:r>
      <w:r>
        <w:t xml:space="preserve">conflict of interest for </w:t>
      </w:r>
      <w:r w:rsidR="002D13F7">
        <w:t xml:space="preserve">the </w:t>
      </w:r>
      <w:r w:rsidR="00921323">
        <w:t xml:space="preserve">CSIRO </w:t>
      </w:r>
      <w:r w:rsidR="002D13F7">
        <w:t>Scientific M</w:t>
      </w:r>
      <w:r w:rsidR="00921323">
        <w:t xml:space="preserve">ember when providing information and advice on </w:t>
      </w:r>
      <w:r w:rsidR="007D6A68">
        <w:t xml:space="preserve">CSIRO </w:t>
      </w:r>
      <w:r w:rsidR="00921323">
        <w:t xml:space="preserve">research </w:t>
      </w:r>
      <w:r w:rsidR="007D6A68">
        <w:t>funding proposals</w:t>
      </w:r>
      <w:r w:rsidR="00921323">
        <w:t xml:space="preserve">, but members agreed for </w:t>
      </w:r>
      <w:r w:rsidR="00873B5D">
        <w:t xml:space="preserve">the member </w:t>
      </w:r>
      <w:r w:rsidR="00921323">
        <w:t>to remain present for the discussion noting the important contribution of</w:t>
      </w:r>
      <w:r w:rsidR="00873B5D">
        <w:t xml:space="preserve"> their</w:t>
      </w:r>
      <w:r w:rsidR="00921323">
        <w:t xml:space="preserve"> scientific</w:t>
      </w:r>
      <w:r w:rsidR="000522DC">
        <w:t xml:space="preserve"> </w:t>
      </w:r>
      <w:r w:rsidR="00921323">
        <w:t>expertise.</w:t>
      </w:r>
      <w:r w:rsidR="007D6A68">
        <w:t xml:space="preserve">  The CSIRO member did not participate in the making of recommendations.</w:t>
      </w:r>
    </w:p>
    <w:p w:rsidR="005D339B" w:rsidRDefault="005D339B" w:rsidP="00B56F1E">
      <w:pPr>
        <w:spacing w:before="0" w:after="0"/>
        <w:jc w:val="both"/>
      </w:pPr>
    </w:p>
    <w:p w:rsidR="008E2091" w:rsidRDefault="004E5AD9" w:rsidP="00B56F1E">
      <w:pPr>
        <w:pStyle w:val="Heading2"/>
        <w:spacing w:before="0" w:after="0"/>
      </w:pPr>
      <w:bookmarkStart w:id="6" w:name="_Toc446598461"/>
      <w:r>
        <w:t>Agenda Item 1</w:t>
      </w:r>
      <w:r w:rsidR="008E2091">
        <w:t xml:space="preserve"> </w:t>
      </w:r>
      <w:r>
        <w:t xml:space="preserve">– </w:t>
      </w:r>
      <w:r w:rsidR="000522DC">
        <w:t>Torres Strait TRL fishery surveys, stock assessment, harvest control rules and recommended biological catch</w:t>
      </w:r>
      <w:bookmarkEnd w:id="6"/>
    </w:p>
    <w:p w:rsidR="000504BD" w:rsidRDefault="000504BD" w:rsidP="00B56F1E">
      <w:pPr>
        <w:spacing w:before="0" w:after="0"/>
        <w:jc w:val="both"/>
      </w:pPr>
    </w:p>
    <w:p w:rsidR="000504BD" w:rsidRDefault="008E2091" w:rsidP="00B56F1E">
      <w:pPr>
        <w:spacing w:before="0" w:after="0"/>
        <w:jc w:val="both"/>
      </w:pPr>
      <w:r>
        <w:t>The TRLRAG</w:t>
      </w:r>
      <w:r w:rsidR="00A73E3D">
        <w:t xml:space="preserve"> </w:t>
      </w:r>
      <w:r w:rsidR="005D51F2">
        <w:t xml:space="preserve">and TRLWG </w:t>
      </w:r>
      <w:r w:rsidR="00F013CC" w:rsidRPr="00361AB5">
        <w:t>noted</w:t>
      </w:r>
      <w:r w:rsidR="000504BD">
        <w:t xml:space="preserve"> </w:t>
      </w:r>
      <w:r w:rsidR="005D51F2">
        <w:t>an</w:t>
      </w:r>
      <w:r w:rsidR="000504BD">
        <w:t xml:space="preserve"> update on </w:t>
      </w:r>
      <w:r w:rsidR="000522DC">
        <w:t xml:space="preserve">the </w:t>
      </w:r>
      <w:r w:rsidR="0073357E">
        <w:t xml:space="preserve">stock assessment </w:t>
      </w:r>
      <w:r w:rsidR="000522DC">
        <w:t xml:space="preserve">research </w:t>
      </w:r>
      <w:r w:rsidR="0073357E">
        <w:t>pre-</w:t>
      </w:r>
      <w:r w:rsidR="000522DC">
        <w:t xml:space="preserve">proposal </w:t>
      </w:r>
      <w:r w:rsidR="000504BD">
        <w:t>as presented by CSIRO and detailed in the paper</w:t>
      </w:r>
      <w:r w:rsidR="005565D7">
        <w:t>s</w:t>
      </w:r>
      <w:r w:rsidR="000504BD">
        <w:t xml:space="preserve"> </w:t>
      </w:r>
      <w:r w:rsidR="000504BD" w:rsidRPr="00024402">
        <w:rPr>
          <w:b/>
        </w:rPr>
        <w:t>(Attachment</w:t>
      </w:r>
      <w:r w:rsidR="005565D7">
        <w:rPr>
          <w:b/>
        </w:rPr>
        <w:t>s</w:t>
      </w:r>
      <w:r w:rsidR="000504BD" w:rsidRPr="00024402">
        <w:rPr>
          <w:b/>
        </w:rPr>
        <w:t xml:space="preserve"> A</w:t>
      </w:r>
      <w:r w:rsidR="005565D7">
        <w:rPr>
          <w:b/>
        </w:rPr>
        <w:t xml:space="preserve"> and B</w:t>
      </w:r>
      <w:r w:rsidR="000504BD" w:rsidRPr="00024402">
        <w:rPr>
          <w:b/>
        </w:rPr>
        <w:t>)</w:t>
      </w:r>
      <w:r w:rsidR="000504BD">
        <w:t>.</w:t>
      </w:r>
    </w:p>
    <w:p w:rsidR="000522DC" w:rsidRDefault="000522DC" w:rsidP="00B56F1E">
      <w:pPr>
        <w:spacing w:before="0" w:after="0"/>
        <w:jc w:val="both"/>
      </w:pPr>
    </w:p>
    <w:p w:rsidR="005D51F2" w:rsidRDefault="005D51F2" w:rsidP="00B56F1E">
      <w:pPr>
        <w:spacing w:before="0" w:after="0"/>
        <w:jc w:val="both"/>
      </w:pPr>
      <w:r>
        <w:t xml:space="preserve">Members noted the following </w:t>
      </w:r>
      <w:r w:rsidR="00375105">
        <w:t>updates</w:t>
      </w:r>
      <w:r w:rsidR="005565D7">
        <w:t xml:space="preserve"> provided by the CSIRO Scientific Member</w:t>
      </w:r>
      <w:r>
        <w:t>:</w:t>
      </w:r>
    </w:p>
    <w:p w:rsidR="00642881" w:rsidRDefault="00642881" w:rsidP="00F16918">
      <w:pPr>
        <w:spacing w:before="0" w:after="0"/>
        <w:ind w:left="720"/>
        <w:jc w:val="both"/>
      </w:pPr>
    </w:p>
    <w:p w:rsidR="000522DC" w:rsidRDefault="000522DC" w:rsidP="00B56F1E">
      <w:pPr>
        <w:pStyle w:val="ListParagraph"/>
        <w:numPr>
          <w:ilvl w:val="0"/>
          <w:numId w:val="7"/>
        </w:numPr>
        <w:spacing w:before="0" w:after="0"/>
        <w:jc w:val="both"/>
      </w:pPr>
      <w:r>
        <w:t xml:space="preserve">A number of assessment options </w:t>
      </w:r>
      <w:r w:rsidR="004C44BA">
        <w:t>were</w:t>
      </w:r>
      <w:r>
        <w:t xml:space="preserve"> identified by the TRLRAG at its meeting on 26</w:t>
      </w:r>
      <w:r w:rsidR="00923091">
        <w:noBreakHyphen/>
      </w:r>
      <w:r>
        <w:t>27 August 2015</w:t>
      </w:r>
      <w:r w:rsidR="004C44BA">
        <w:t>.</w:t>
      </w:r>
    </w:p>
    <w:p w:rsidR="004C44BA" w:rsidRDefault="004C44BA" w:rsidP="004C44BA">
      <w:pPr>
        <w:pStyle w:val="ListParagraph"/>
        <w:spacing w:before="0" w:after="0"/>
        <w:jc w:val="both"/>
      </w:pPr>
    </w:p>
    <w:p w:rsidR="004C44BA" w:rsidRDefault="004C44BA" w:rsidP="00B56F1E">
      <w:pPr>
        <w:pStyle w:val="ListParagraph"/>
        <w:numPr>
          <w:ilvl w:val="0"/>
          <w:numId w:val="7"/>
        </w:numPr>
        <w:spacing w:before="0" w:after="0"/>
        <w:jc w:val="both"/>
      </w:pPr>
      <w:r>
        <w:t>Option 1 does not include fishery-independent surveys to be conducted by CSIRO, however under this option surveys could be completed by a third</w:t>
      </w:r>
      <w:r>
        <w:noBreakHyphen/>
        <w:t>party. This option provides for a stock assessment to be run every 3 years and the development of an empirical harvest control rule</w:t>
      </w:r>
      <w:r w:rsidR="00923091">
        <w:t xml:space="preserve"> to inform the TAC in between stock assessment years.</w:t>
      </w:r>
    </w:p>
    <w:p w:rsidR="004C44BA" w:rsidRDefault="004C44BA" w:rsidP="004C44BA">
      <w:pPr>
        <w:pStyle w:val="ListParagraph"/>
        <w:spacing w:before="0" w:after="0"/>
        <w:jc w:val="both"/>
      </w:pPr>
    </w:p>
    <w:p w:rsidR="004C44BA" w:rsidRDefault="004C44BA" w:rsidP="00B56F1E">
      <w:pPr>
        <w:pStyle w:val="ListParagraph"/>
        <w:numPr>
          <w:ilvl w:val="0"/>
          <w:numId w:val="7"/>
        </w:numPr>
        <w:spacing w:before="0" w:after="0"/>
        <w:jc w:val="both"/>
      </w:pPr>
      <w:r>
        <w:t xml:space="preserve">Option 2 includes annual pre-season and mid-season surveys to be completed by CSIRO. The option provides for a stock assessment to be run annually </w:t>
      </w:r>
      <w:r w:rsidR="00923091">
        <w:t xml:space="preserve">to inform the RBC and TAC, </w:t>
      </w:r>
      <w:r>
        <w:t>it does not include the development of empirical harvest control rules.</w:t>
      </w:r>
    </w:p>
    <w:p w:rsidR="004C44BA" w:rsidRDefault="004C44BA" w:rsidP="004C44BA">
      <w:pPr>
        <w:pStyle w:val="ListParagraph"/>
        <w:spacing w:before="0" w:after="0"/>
        <w:jc w:val="both"/>
      </w:pPr>
    </w:p>
    <w:p w:rsidR="004C44BA" w:rsidRDefault="004C44BA" w:rsidP="00B56F1E">
      <w:pPr>
        <w:pStyle w:val="ListParagraph"/>
        <w:numPr>
          <w:ilvl w:val="0"/>
          <w:numId w:val="7"/>
        </w:numPr>
        <w:spacing w:before="0" w:after="0"/>
        <w:jc w:val="both"/>
      </w:pPr>
      <w:r>
        <w:t xml:space="preserve">Option 3 includes an annual pre-season survey to provide an estimate on the number of recruits in the fishery; the spawning stock biomass will be informed by catch-per-unit-effort (CPUE) information. </w:t>
      </w:r>
      <w:r w:rsidR="00923091">
        <w:t>This option provides for a stock assessment to be run every 3 years and the development of an empirical harvest control rule to inform the TAC in between stock assessment years.</w:t>
      </w:r>
    </w:p>
    <w:p w:rsidR="004C44BA" w:rsidRDefault="004C44BA" w:rsidP="004C44BA">
      <w:pPr>
        <w:pStyle w:val="ListParagraph"/>
      </w:pPr>
    </w:p>
    <w:p w:rsidR="00923091" w:rsidRDefault="00923091" w:rsidP="00923091">
      <w:pPr>
        <w:pStyle w:val="ListParagraph"/>
        <w:numPr>
          <w:ilvl w:val="0"/>
          <w:numId w:val="7"/>
        </w:numPr>
        <w:spacing w:before="0" w:after="0"/>
        <w:jc w:val="both"/>
      </w:pPr>
      <w:r>
        <w:lastRenderedPageBreak/>
        <w:t>Option 4 includes annual pre-season and mid-season surveys to be completed by CSIRO. This option provides for a stock assessment to be run every 3 years and the development of an empirical harvest control rule to inform the TAC in between stock assessment years.</w:t>
      </w:r>
    </w:p>
    <w:p w:rsidR="004C44BA" w:rsidRDefault="004C44BA" w:rsidP="00923091">
      <w:pPr>
        <w:pStyle w:val="ListParagraph"/>
        <w:spacing w:before="0" w:after="0"/>
        <w:jc w:val="both"/>
      </w:pPr>
    </w:p>
    <w:p w:rsidR="00923091" w:rsidRDefault="00923091" w:rsidP="00923091">
      <w:pPr>
        <w:pStyle w:val="ListParagraph"/>
        <w:numPr>
          <w:ilvl w:val="0"/>
          <w:numId w:val="7"/>
        </w:numPr>
        <w:spacing w:before="0" w:after="0"/>
        <w:jc w:val="both"/>
      </w:pPr>
      <w:r>
        <w:t>Option 5 includes an annual mid-season survey to provide an estimate on the spawning stock biomass of the fishery, the number of recruits in the fishery will not be estimated. The option provides for a stock assessment to be run annually to inform the RBC and TAC, it does not include the development of empirical harvest control rules.</w:t>
      </w:r>
    </w:p>
    <w:p w:rsidR="004C44BA" w:rsidRDefault="004C44BA" w:rsidP="00923091">
      <w:pPr>
        <w:pStyle w:val="ListParagraph"/>
        <w:spacing w:before="0" w:after="0"/>
        <w:jc w:val="both"/>
      </w:pPr>
    </w:p>
    <w:p w:rsidR="00D61494" w:rsidRDefault="007D6A68" w:rsidP="00B56F1E">
      <w:pPr>
        <w:spacing w:before="0" w:after="0"/>
        <w:jc w:val="both"/>
      </w:pPr>
      <w:r>
        <w:t>The TRLRAG</w:t>
      </w:r>
      <w:r w:rsidR="00094EEB">
        <w:t>/WG</w:t>
      </w:r>
      <w:r>
        <w:t xml:space="preserve"> could not agree on a single preferred assessment option</w:t>
      </w:r>
      <w:r w:rsidR="00B04ED8">
        <w:t xml:space="preserve"> due to uncertainty around the risk-catch-cost trade-off with reducing survey frequencies. Members </w:t>
      </w:r>
      <w:r w:rsidR="00873B5D">
        <w:t xml:space="preserve">however </w:t>
      </w:r>
      <w:r w:rsidR="00B04ED8">
        <w:t xml:space="preserve">noted </w:t>
      </w:r>
      <w:r w:rsidR="00D61494">
        <w:t xml:space="preserve">the need </w:t>
      </w:r>
      <w:r w:rsidR="00873B5D">
        <w:t xml:space="preserve">to </w:t>
      </w:r>
      <w:r w:rsidR="00D61494">
        <w:t>acquire effective scientific information at least cost.  AFMA’s research budget is limited and is used to meet research priorities across all Torres Strait Fisheries.</w:t>
      </w:r>
    </w:p>
    <w:p w:rsidR="00D61494" w:rsidRDefault="00D61494" w:rsidP="00D61494">
      <w:pPr>
        <w:spacing w:before="0" w:after="0"/>
        <w:jc w:val="both"/>
      </w:pPr>
    </w:p>
    <w:p w:rsidR="00D61494" w:rsidRDefault="00D61494" w:rsidP="00D61494">
      <w:pPr>
        <w:spacing w:before="0" w:after="0"/>
        <w:jc w:val="both"/>
      </w:pPr>
      <w:r>
        <w:t>One industry member noted they were not supportive of a three-year assessment cycle due to the potential for changes in the fishery and potential impacts to the stock assessment if a 12 month open season for free-dive and lamp fishing is approved.</w:t>
      </w:r>
    </w:p>
    <w:p w:rsidR="00D61494" w:rsidRDefault="00D61494" w:rsidP="00B56F1E">
      <w:pPr>
        <w:spacing w:before="0" w:after="0"/>
        <w:jc w:val="both"/>
      </w:pPr>
    </w:p>
    <w:p w:rsidR="00D61494" w:rsidRDefault="00D61494" w:rsidP="00B56F1E">
      <w:pPr>
        <w:spacing w:before="0" w:after="0"/>
        <w:jc w:val="both"/>
      </w:pPr>
      <w:r>
        <w:t>The TRLRAG</w:t>
      </w:r>
      <w:r w:rsidR="00094EEB">
        <w:t>/WG</w:t>
      </w:r>
      <w:r>
        <w:t xml:space="preserve"> recommended the following:</w:t>
      </w:r>
    </w:p>
    <w:p w:rsidR="00D61494" w:rsidRDefault="00D61494" w:rsidP="00B56F1E">
      <w:pPr>
        <w:spacing w:before="0" w:after="0"/>
        <w:jc w:val="both"/>
      </w:pPr>
    </w:p>
    <w:p w:rsidR="00D61494" w:rsidRDefault="00873B5D" w:rsidP="00B04ED8">
      <w:pPr>
        <w:pStyle w:val="ListParagraph"/>
        <w:numPr>
          <w:ilvl w:val="0"/>
          <w:numId w:val="7"/>
        </w:numPr>
        <w:spacing w:before="0" w:after="0"/>
        <w:jc w:val="both"/>
      </w:pPr>
      <w:r>
        <w:t>s</w:t>
      </w:r>
      <w:r w:rsidR="00D61494">
        <w:t>tock assessment options inclusive of a pre-season be given highest priority;</w:t>
      </w:r>
    </w:p>
    <w:p w:rsidR="00D61494" w:rsidRDefault="00D61494" w:rsidP="00A4763A">
      <w:pPr>
        <w:pStyle w:val="ListParagraph"/>
        <w:spacing w:before="0" w:after="0"/>
        <w:jc w:val="both"/>
      </w:pPr>
    </w:p>
    <w:p w:rsidR="007D6A68" w:rsidRDefault="00873B5D" w:rsidP="00B04ED8">
      <w:pPr>
        <w:pStyle w:val="ListParagraph"/>
        <w:numPr>
          <w:ilvl w:val="0"/>
          <w:numId w:val="7"/>
        </w:numPr>
        <w:spacing w:before="0" w:after="0"/>
        <w:jc w:val="both"/>
      </w:pPr>
      <w:proofErr w:type="gramStart"/>
      <w:r>
        <w:t>f</w:t>
      </w:r>
      <w:r w:rsidR="007D6A68">
        <w:t>urther</w:t>
      </w:r>
      <w:proofErr w:type="gramEnd"/>
      <w:r w:rsidR="007D6A68">
        <w:t xml:space="preserve"> information </w:t>
      </w:r>
      <w:r w:rsidR="00D61494">
        <w:t>be provided</w:t>
      </w:r>
      <w:r w:rsidR="007D6A68">
        <w:t xml:space="preserve"> to explain </w:t>
      </w:r>
      <w:r w:rsidR="00B04ED8">
        <w:t>why there is no significant saving when comparing some options with an annual stock assessment and some with a three year cycle.  Members noted initial advice that an annual stock assessment cycle provides for a relatively simple update of the stock assessment model. The three year assessment cycle allows for a more in-depth review of the stock assessment, and it is likely that a similar amount of time would be spent refining the assessment o</w:t>
      </w:r>
      <w:r w:rsidR="00A4763A">
        <w:t>ver an intensive period</w:t>
      </w:r>
      <w:r>
        <w:t>;</w:t>
      </w:r>
    </w:p>
    <w:p w:rsidR="00D61494" w:rsidRDefault="00D61494" w:rsidP="00A4763A">
      <w:pPr>
        <w:pStyle w:val="ListParagraph"/>
        <w:spacing w:before="0" w:after="0"/>
        <w:jc w:val="both"/>
      </w:pPr>
    </w:p>
    <w:p w:rsidR="00D61494" w:rsidRDefault="00873B5D" w:rsidP="00D61494">
      <w:pPr>
        <w:pStyle w:val="ListParagraph"/>
        <w:numPr>
          <w:ilvl w:val="0"/>
          <w:numId w:val="7"/>
        </w:numPr>
        <w:spacing w:before="0" w:after="0"/>
        <w:jc w:val="both"/>
      </w:pPr>
      <w:proofErr w:type="gramStart"/>
      <w:r>
        <w:t>a</w:t>
      </w:r>
      <w:proofErr w:type="gramEnd"/>
      <w:r w:rsidR="00D61494">
        <w:t xml:space="preserve"> review be completed to identify any correlations or relationships between years when both pre-season and mid-season survey were completed. </w:t>
      </w:r>
      <w:r>
        <w:t>Results from this analysis</w:t>
      </w:r>
      <w:r w:rsidR="00D61494">
        <w:t xml:space="preserve"> </w:t>
      </w:r>
      <w:r>
        <w:t>c</w:t>
      </w:r>
      <w:r w:rsidR="00D61494">
        <w:t>ould assist future decisions to phase out mid-season surveys as the fishery transitions to quota management</w:t>
      </w:r>
      <w:r>
        <w:t>;</w:t>
      </w:r>
    </w:p>
    <w:p w:rsidR="00094EEB" w:rsidRDefault="00094EEB" w:rsidP="00A4763A">
      <w:pPr>
        <w:pStyle w:val="ListParagraph"/>
      </w:pPr>
    </w:p>
    <w:p w:rsidR="00094EEB" w:rsidRDefault="00873B5D" w:rsidP="00094EEB">
      <w:pPr>
        <w:pStyle w:val="ListParagraph"/>
        <w:numPr>
          <w:ilvl w:val="0"/>
          <w:numId w:val="7"/>
        </w:numPr>
        <w:spacing w:before="0" w:after="0"/>
        <w:jc w:val="both"/>
      </w:pPr>
      <w:r>
        <w:t>t</w:t>
      </w:r>
      <w:r w:rsidR="00094EEB">
        <w:t xml:space="preserve">he proposal </w:t>
      </w:r>
      <w:r>
        <w:t xml:space="preserve">be </w:t>
      </w:r>
      <w:r w:rsidR="00094EEB">
        <w:t>amended to include the harvest strategy component in the objectives, methods and outcome</w:t>
      </w:r>
      <w:r>
        <w:t>s</w:t>
      </w:r>
      <w:r w:rsidR="00094EEB">
        <w:t xml:space="preserve"> noting that the development of a final harvest strategy for the TRL Fishery was recognised as a high research priority</w:t>
      </w:r>
      <w:r>
        <w:t>;</w:t>
      </w:r>
      <w:r w:rsidR="00544100">
        <w:t xml:space="preserve"> </w:t>
      </w:r>
      <w:r>
        <w:t>and</w:t>
      </w:r>
    </w:p>
    <w:p w:rsidR="00094EEB" w:rsidRDefault="00094EEB" w:rsidP="00094EEB">
      <w:pPr>
        <w:spacing w:before="0" w:after="0"/>
        <w:jc w:val="both"/>
      </w:pPr>
    </w:p>
    <w:p w:rsidR="00094EEB" w:rsidRDefault="00094EEB" w:rsidP="00094EEB">
      <w:pPr>
        <w:pStyle w:val="ListParagraph"/>
        <w:numPr>
          <w:ilvl w:val="0"/>
          <w:numId w:val="7"/>
        </w:numPr>
        <w:spacing w:before="0" w:after="0"/>
        <w:jc w:val="both"/>
      </w:pPr>
      <w:proofErr w:type="gramStart"/>
      <w:r>
        <w:t>a</w:t>
      </w:r>
      <w:proofErr w:type="gramEnd"/>
      <w:r>
        <w:t xml:space="preserve"> breakdown of travel costs be provided. </w:t>
      </w:r>
    </w:p>
    <w:p w:rsidR="00094EEB" w:rsidRDefault="00094EEB" w:rsidP="00094EEB">
      <w:pPr>
        <w:spacing w:before="0" w:after="0"/>
        <w:jc w:val="both"/>
      </w:pPr>
    </w:p>
    <w:p w:rsidR="00873B5D" w:rsidRDefault="00873B5D" w:rsidP="00094EEB">
      <w:pPr>
        <w:spacing w:before="0" w:after="0"/>
        <w:jc w:val="both"/>
      </w:pPr>
    </w:p>
    <w:p w:rsidR="00094EEB" w:rsidRDefault="00094EEB" w:rsidP="00094EEB">
      <w:pPr>
        <w:spacing w:before="0" w:after="0"/>
        <w:jc w:val="both"/>
      </w:pPr>
      <w:r>
        <w:lastRenderedPageBreak/>
        <w:t xml:space="preserve">The TRLRAG and TRLWG also agreed to the following </w:t>
      </w:r>
      <w:r w:rsidRPr="00B3316B">
        <w:rPr>
          <w:b/>
        </w:rPr>
        <w:t>action:</w:t>
      </w:r>
    </w:p>
    <w:p w:rsidR="00094EEB" w:rsidRDefault="00094EEB" w:rsidP="00094EEB">
      <w:pPr>
        <w:pStyle w:val="ListParagraph"/>
        <w:numPr>
          <w:ilvl w:val="0"/>
          <w:numId w:val="40"/>
        </w:numPr>
        <w:spacing w:before="0" w:after="0"/>
        <w:jc w:val="both"/>
      </w:pPr>
      <w:r>
        <w:t>AFMA to follow up with the Torres Strait Regional Authority (TSRA) Land and Seas</w:t>
      </w:r>
      <w:r w:rsidR="00873B5D">
        <w:t xml:space="preserve"> </w:t>
      </w:r>
      <w:r>
        <w:t xml:space="preserve">Management Unit (LSMU) regarding opportunities to combine seagrass monitoring programs to reduce </w:t>
      </w:r>
      <w:r w:rsidR="00873B5D">
        <w:t xml:space="preserve">overall research </w:t>
      </w:r>
      <w:r>
        <w:t>costs.</w:t>
      </w:r>
    </w:p>
    <w:p w:rsidR="00CA096E" w:rsidRDefault="00CA096E" w:rsidP="00CA096E">
      <w:pPr>
        <w:spacing w:before="0" w:after="0"/>
        <w:jc w:val="both"/>
      </w:pPr>
    </w:p>
    <w:p w:rsidR="00FB24FC" w:rsidRDefault="004E5AD9" w:rsidP="00B56F1E">
      <w:pPr>
        <w:pStyle w:val="Heading2"/>
        <w:spacing w:before="0" w:after="0"/>
      </w:pPr>
      <w:bookmarkStart w:id="7" w:name="_Toc446598462"/>
      <w:r>
        <w:t>Agenda Item 2</w:t>
      </w:r>
      <w:r w:rsidR="005971E3">
        <w:t xml:space="preserve"> – </w:t>
      </w:r>
      <w:r w:rsidR="005565D7">
        <w:t>Development and opportunities for the Torres Strait TIB sector</w:t>
      </w:r>
      <w:bookmarkEnd w:id="7"/>
    </w:p>
    <w:p w:rsidR="00B56F1E" w:rsidRDefault="00B56F1E" w:rsidP="00B56F1E">
      <w:pPr>
        <w:spacing w:before="0" w:after="0"/>
        <w:jc w:val="both"/>
        <w:rPr>
          <w:rFonts w:cs="Arial"/>
        </w:rPr>
      </w:pPr>
    </w:p>
    <w:p w:rsidR="005565D7" w:rsidRDefault="005565D7" w:rsidP="005565D7">
      <w:pPr>
        <w:spacing w:before="0" w:after="0"/>
        <w:jc w:val="both"/>
      </w:pPr>
      <w:r>
        <w:t xml:space="preserve">The TRLRAG and TRLWG </w:t>
      </w:r>
      <w:r w:rsidRPr="00361AB5">
        <w:t>noted</w:t>
      </w:r>
      <w:r>
        <w:t xml:space="preserve"> an update on the </w:t>
      </w:r>
      <w:r w:rsidR="0073357E">
        <w:t xml:space="preserve">TIB development opportunities </w:t>
      </w:r>
      <w:r>
        <w:t xml:space="preserve">research </w:t>
      </w:r>
      <w:r w:rsidR="0073357E">
        <w:t>pre-</w:t>
      </w:r>
      <w:r>
        <w:t xml:space="preserve">proposal as presented by CSIRO and detailed in the papers </w:t>
      </w:r>
      <w:r w:rsidRPr="00024402">
        <w:rPr>
          <w:b/>
        </w:rPr>
        <w:t>(Attachment</w:t>
      </w:r>
      <w:r>
        <w:rPr>
          <w:b/>
        </w:rPr>
        <w:t>s</w:t>
      </w:r>
      <w:r w:rsidRPr="00024402">
        <w:rPr>
          <w:b/>
        </w:rPr>
        <w:t xml:space="preserve"> </w:t>
      </w:r>
      <w:r>
        <w:rPr>
          <w:b/>
        </w:rPr>
        <w:t>C and D</w:t>
      </w:r>
      <w:r w:rsidRPr="00024402">
        <w:rPr>
          <w:b/>
        </w:rPr>
        <w:t>)</w:t>
      </w:r>
      <w:r>
        <w:t>.</w:t>
      </w:r>
    </w:p>
    <w:p w:rsidR="005565D7" w:rsidRDefault="005565D7" w:rsidP="005565D7">
      <w:pPr>
        <w:spacing w:before="0" w:after="0"/>
        <w:jc w:val="both"/>
      </w:pPr>
    </w:p>
    <w:p w:rsidR="005565D7" w:rsidRDefault="005565D7" w:rsidP="00CA096E">
      <w:pPr>
        <w:spacing w:before="0" w:after="0"/>
        <w:jc w:val="both"/>
        <w:rPr>
          <w:rFonts w:cs="Arial"/>
        </w:rPr>
      </w:pPr>
      <w:r>
        <w:t xml:space="preserve">Members noted </w:t>
      </w:r>
      <w:r w:rsidR="0073357E">
        <w:t>that the</w:t>
      </w:r>
      <w:r w:rsidR="000F5828">
        <w:rPr>
          <w:rFonts w:cs="Arial"/>
        </w:rPr>
        <w:t xml:space="preserve"> </w:t>
      </w:r>
      <w:r w:rsidR="0073357E">
        <w:rPr>
          <w:rFonts w:cs="Arial"/>
        </w:rPr>
        <w:t>pre-</w:t>
      </w:r>
      <w:r w:rsidR="000F5828">
        <w:rPr>
          <w:rFonts w:cs="Arial"/>
        </w:rPr>
        <w:t xml:space="preserve">proposal was supported by the TSSAC </w:t>
      </w:r>
      <w:r w:rsidR="0073357E">
        <w:rPr>
          <w:rFonts w:cs="Arial"/>
        </w:rPr>
        <w:t xml:space="preserve">in 2015 </w:t>
      </w:r>
      <w:r w:rsidR="000F5828">
        <w:rPr>
          <w:rFonts w:cs="Arial"/>
        </w:rPr>
        <w:t xml:space="preserve">on the basis it received </w:t>
      </w:r>
      <w:r w:rsidR="0073357E">
        <w:rPr>
          <w:rFonts w:cs="Arial"/>
        </w:rPr>
        <w:t>co-</w:t>
      </w:r>
      <w:r w:rsidR="000F5828">
        <w:rPr>
          <w:rFonts w:cs="Arial"/>
        </w:rPr>
        <w:t>funding from industry and</w:t>
      </w:r>
      <w:r w:rsidR="00873B5D">
        <w:rPr>
          <w:rFonts w:cs="Arial"/>
        </w:rPr>
        <w:t>/or</w:t>
      </w:r>
      <w:r w:rsidR="000F5828">
        <w:rPr>
          <w:rFonts w:cs="Arial"/>
        </w:rPr>
        <w:t xml:space="preserve"> the TSRA. CSIRO revised the proposal in 2016 to focus the project scope on capability development, grow-out opportunities and business case development.</w:t>
      </w:r>
    </w:p>
    <w:p w:rsidR="000F5828" w:rsidRDefault="000F5828" w:rsidP="000F5828">
      <w:pPr>
        <w:spacing w:before="0" w:after="0"/>
        <w:jc w:val="both"/>
        <w:rPr>
          <w:rFonts w:cs="Arial"/>
        </w:rPr>
      </w:pPr>
    </w:p>
    <w:p w:rsidR="00724B6C" w:rsidRDefault="00724B6C" w:rsidP="000F5828">
      <w:pPr>
        <w:spacing w:before="0" w:after="0"/>
        <w:jc w:val="both"/>
        <w:rPr>
          <w:rFonts w:cs="Arial"/>
        </w:rPr>
      </w:pPr>
      <w:r>
        <w:rPr>
          <w:rFonts w:cs="Arial"/>
        </w:rPr>
        <w:t>Members provided the following observations and advice:</w:t>
      </w:r>
    </w:p>
    <w:p w:rsidR="00724B6C" w:rsidRDefault="00724B6C" w:rsidP="000F5828">
      <w:pPr>
        <w:spacing w:before="0" w:after="0"/>
        <w:jc w:val="both"/>
        <w:rPr>
          <w:rFonts w:cs="Arial"/>
        </w:rPr>
      </w:pPr>
    </w:p>
    <w:p w:rsidR="00724B6C" w:rsidRDefault="00724B6C" w:rsidP="00CA096E">
      <w:pPr>
        <w:pStyle w:val="ListParagraph"/>
        <w:numPr>
          <w:ilvl w:val="0"/>
          <w:numId w:val="40"/>
        </w:numPr>
        <w:spacing w:before="0" w:after="0"/>
        <w:jc w:val="both"/>
        <w:rPr>
          <w:rFonts w:cs="Arial"/>
        </w:rPr>
      </w:pPr>
      <w:r>
        <w:rPr>
          <w:rFonts w:cs="Arial"/>
        </w:rPr>
        <w:t>the scope of the research proposal is broad and that for example work on grow-out opportunities may be better suited to a single project;</w:t>
      </w:r>
    </w:p>
    <w:p w:rsidR="00724B6C" w:rsidRDefault="00724B6C" w:rsidP="00CA096E">
      <w:pPr>
        <w:pStyle w:val="ListParagraph"/>
        <w:spacing w:before="0" w:after="0"/>
        <w:jc w:val="both"/>
        <w:rPr>
          <w:rFonts w:cs="Arial"/>
        </w:rPr>
      </w:pPr>
    </w:p>
    <w:p w:rsidR="00724B6C" w:rsidRDefault="00724B6C" w:rsidP="00CA096E">
      <w:pPr>
        <w:pStyle w:val="ListParagraph"/>
        <w:numPr>
          <w:ilvl w:val="0"/>
          <w:numId w:val="40"/>
        </w:numPr>
        <w:rPr>
          <w:rFonts w:cs="Arial"/>
        </w:rPr>
      </w:pPr>
      <w:r>
        <w:rPr>
          <w:rFonts w:cs="Arial"/>
        </w:rPr>
        <w:t xml:space="preserve">further discussions with industry and consideration of the findings from past studies could assist in identifying high priority initiatives; </w:t>
      </w:r>
    </w:p>
    <w:p w:rsidR="00724B6C" w:rsidRDefault="00724B6C" w:rsidP="00CA096E">
      <w:pPr>
        <w:pStyle w:val="ListParagraph"/>
        <w:rPr>
          <w:rFonts w:cs="Arial"/>
        </w:rPr>
      </w:pPr>
    </w:p>
    <w:p w:rsidR="004D7574" w:rsidRDefault="00873B5D" w:rsidP="00CA096E">
      <w:pPr>
        <w:pStyle w:val="ListParagraph"/>
        <w:numPr>
          <w:ilvl w:val="0"/>
          <w:numId w:val="40"/>
        </w:numPr>
      </w:pPr>
      <w:r>
        <w:rPr>
          <w:rFonts w:cs="Arial"/>
        </w:rPr>
        <w:t xml:space="preserve">based on experience some industry members recommended that </w:t>
      </w:r>
      <w:r w:rsidR="00724B6C" w:rsidRPr="00724B6C">
        <w:rPr>
          <w:rFonts w:cs="Arial"/>
        </w:rPr>
        <w:t>a TIB development project focus on increasing the number of live TRL from TIB fishers on outer islands</w:t>
      </w:r>
      <w:r w:rsidR="00724B6C">
        <w:rPr>
          <w:rFonts w:cs="Arial"/>
        </w:rPr>
        <w:t xml:space="preserve"> while others noted </w:t>
      </w:r>
      <w:r w:rsidR="00646F9F">
        <w:t>they had trialled TRL grow-out and in their experience it was not economically viable</w:t>
      </w:r>
      <w:r w:rsidR="00724B6C">
        <w:t>;</w:t>
      </w:r>
      <w:r>
        <w:t xml:space="preserve"> and</w:t>
      </w:r>
    </w:p>
    <w:p w:rsidR="004D7574" w:rsidRDefault="004D7574" w:rsidP="00CA096E">
      <w:pPr>
        <w:pStyle w:val="ListParagraph"/>
      </w:pPr>
    </w:p>
    <w:p w:rsidR="00646F9F" w:rsidRDefault="004D7574" w:rsidP="00CA096E">
      <w:pPr>
        <w:pStyle w:val="ListParagraph"/>
        <w:numPr>
          <w:ilvl w:val="0"/>
          <w:numId w:val="40"/>
        </w:numPr>
      </w:pPr>
      <w:r>
        <w:t xml:space="preserve">R&amp;D initiatives focused on industry practices such as </w:t>
      </w:r>
      <w:r>
        <w:rPr>
          <w:rFonts w:cs="Arial"/>
        </w:rPr>
        <w:t>developing grow-out opportunities in the TRL Fishery</w:t>
      </w:r>
      <w:r w:rsidR="00873B5D">
        <w:rPr>
          <w:rFonts w:cs="Arial"/>
        </w:rPr>
        <w:t xml:space="preserve"> </w:t>
      </w:r>
      <w:r>
        <w:rPr>
          <w:rFonts w:cs="Arial"/>
        </w:rPr>
        <w:t xml:space="preserve">should </w:t>
      </w:r>
      <w:r w:rsidR="00873B5D">
        <w:rPr>
          <w:rFonts w:cs="Arial"/>
        </w:rPr>
        <w:t>ideally be</w:t>
      </w:r>
      <w:r>
        <w:rPr>
          <w:rFonts w:cs="Arial"/>
        </w:rPr>
        <w:t xml:space="preserve"> partnered with industry.</w:t>
      </w:r>
    </w:p>
    <w:p w:rsidR="00997228" w:rsidRPr="000F5828" w:rsidRDefault="00997228" w:rsidP="000F5828">
      <w:pPr>
        <w:spacing w:before="0" w:after="0"/>
        <w:jc w:val="both"/>
        <w:rPr>
          <w:rFonts w:cs="Arial"/>
        </w:rPr>
      </w:pPr>
    </w:p>
    <w:p w:rsidR="00CA096E" w:rsidRDefault="00C765A5" w:rsidP="00B56F1E">
      <w:pPr>
        <w:spacing w:before="0" w:after="0"/>
        <w:jc w:val="both"/>
        <w:rPr>
          <w:rFonts w:cs="Arial"/>
        </w:rPr>
      </w:pPr>
      <w:r>
        <w:rPr>
          <w:rFonts w:cs="Arial"/>
        </w:rPr>
        <w:t xml:space="preserve">The TRLRAG and TRLWG agreed to the following </w:t>
      </w:r>
      <w:r w:rsidRPr="00C765A5">
        <w:rPr>
          <w:rFonts w:cs="Arial"/>
          <w:b/>
        </w:rPr>
        <w:t>action</w:t>
      </w:r>
      <w:r>
        <w:rPr>
          <w:rFonts w:cs="Arial"/>
        </w:rPr>
        <w:t>:</w:t>
      </w:r>
    </w:p>
    <w:p w:rsidR="00CA096E" w:rsidRDefault="00CA096E" w:rsidP="00B56F1E">
      <w:pPr>
        <w:spacing w:before="0" w:after="0"/>
        <w:jc w:val="both"/>
        <w:rPr>
          <w:rFonts w:cs="Arial"/>
        </w:rPr>
      </w:pPr>
    </w:p>
    <w:p w:rsidR="00CD1976" w:rsidRDefault="00C765A5" w:rsidP="00C765A5">
      <w:pPr>
        <w:pStyle w:val="ListParagraph"/>
        <w:numPr>
          <w:ilvl w:val="0"/>
          <w:numId w:val="40"/>
        </w:numPr>
        <w:spacing w:before="0" w:after="0"/>
        <w:jc w:val="both"/>
        <w:rPr>
          <w:rFonts w:cs="Arial"/>
        </w:rPr>
      </w:pPr>
      <w:r>
        <w:rPr>
          <w:rFonts w:cs="Arial"/>
        </w:rPr>
        <w:t>The QDAF Member to circulate to the TRLRAG and TRLWG members the contact details Queensland Department of Agriculture and Fisheries officer responsible for aquaculture.</w:t>
      </w:r>
    </w:p>
    <w:p w:rsidR="00CD1976" w:rsidRDefault="00CD1976">
      <w:pPr>
        <w:spacing w:before="0" w:after="200"/>
        <w:rPr>
          <w:rFonts w:cs="Arial"/>
        </w:rPr>
      </w:pPr>
      <w:r>
        <w:rPr>
          <w:rFonts w:cs="Arial"/>
        </w:rPr>
        <w:br w:type="page"/>
      </w:r>
    </w:p>
    <w:p w:rsidR="00C765A5" w:rsidRDefault="00CD1976" w:rsidP="00CD1976">
      <w:pPr>
        <w:pStyle w:val="Heading2"/>
        <w:spacing w:before="0" w:after="0"/>
        <w:rPr>
          <w:rFonts w:cs="Arial"/>
        </w:rPr>
      </w:pPr>
      <w:bookmarkStart w:id="8" w:name="_Toc446598463"/>
      <w:r w:rsidRPr="00CD1976">
        <w:lastRenderedPageBreak/>
        <w:t>Attachments</w:t>
      </w:r>
      <w:bookmarkEnd w:id="8"/>
    </w:p>
    <w:p w:rsidR="00CD1976" w:rsidRPr="00CD1976" w:rsidRDefault="00CD1976" w:rsidP="00CD1976"/>
    <w:p w:rsidR="00CD1976" w:rsidRDefault="00CD1976" w:rsidP="00CD1976">
      <w:pPr>
        <w:pStyle w:val="ListParagraph"/>
        <w:numPr>
          <w:ilvl w:val="0"/>
          <w:numId w:val="44"/>
        </w:numPr>
        <w:spacing w:before="0" w:after="0"/>
        <w:jc w:val="both"/>
        <w:rPr>
          <w:rFonts w:cs="Arial"/>
        </w:rPr>
      </w:pPr>
      <w:r>
        <w:rPr>
          <w:rFonts w:cs="Arial"/>
        </w:rPr>
        <w:t xml:space="preserve">CSIRO </w:t>
      </w:r>
      <w:r w:rsidRPr="00CD1976">
        <w:rPr>
          <w:rFonts w:cs="Arial"/>
        </w:rPr>
        <w:t xml:space="preserve">Letter - </w:t>
      </w:r>
      <w:r w:rsidRPr="00CD1976">
        <w:rPr>
          <w:rFonts w:cs="Arial"/>
        </w:rPr>
        <w:t>Torres Strait rock lobster (TRL) fishery surveys, stock assessment, harvest control</w:t>
      </w:r>
      <w:r>
        <w:rPr>
          <w:rFonts w:cs="Arial"/>
        </w:rPr>
        <w:t xml:space="preserve"> </w:t>
      </w:r>
      <w:r w:rsidRPr="00CD1976">
        <w:rPr>
          <w:rFonts w:cs="Arial"/>
        </w:rPr>
        <w:t>rules and Recommended Biological Catch</w:t>
      </w:r>
      <w:r>
        <w:rPr>
          <w:rFonts w:cs="Arial"/>
        </w:rPr>
        <w:t>.</w:t>
      </w:r>
    </w:p>
    <w:p w:rsidR="00CD1976" w:rsidRDefault="00325EBA" w:rsidP="00325EBA">
      <w:pPr>
        <w:pStyle w:val="ListParagraph"/>
        <w:numPr>
          <w:ilvl w:val="0"/>
          <w:numId w:val="44"/>
        </w:numPr>
        <w:spacing w:before="0" w:after="0"/>
        <w:jc w:val="both"/>
        <w:rPr>
          <w:rFonts w:cs="Arial"/>
        </w:rPr>
      </w:pPr>
      <w:r w:rsidRPr="00325EBA">
        <w:rPr>
          <w:rFonts w:cs="Arial"/>
        </w:rPr>
        <w:t>Preliminary Research Proposal</w:t>
      </w:r>
      <w:r>
        <w:rPr>
          <w:rFonts w:cs="Arial"/>
        </w:rPr>
        <w:t xml:space="preserve"> - </w:t>
      </w:r>
      <w:r w:rsidRPr="00CD1976">
        <w:rPr>
          <w:rFonts w:cs="Arial"/>
        </w:rPr>
        <w:t>Torres Strait rock lobster (TRL) fishery surveys, stock assessment, harvest control</w:t>
      </w:r>
      <w:r>
        <w:rPr>
          <w:rFonts w:cs="Arial"/>
        </w:rPr>
        <w:t xml:space="preserve"> </w:t>
      </w:r>
      <w:r w:rsidRPr="00CD1976">
        <w:rPr>
          <w:rFonts w:cs="Arial"/>
        </w:rPr>
        <w:t>rules and Recommended Biological Catch</w:t>
      </w:r>
      <w:r>
        <w:rPr>
          <w:rFonts w:cs="Arial"/>
        </w:rPr>
        <w:t>.</w:t>
      </w:r>
    </w:p>
    <w:p w:rsidR="00325EBA" w:rsidRDefault="00325EBA" w:rsidP="00325EBA">
      <w:pPr>
        <w:pStyle w:val="ListParagraph"/>
        <w:numPr>
          <w:ilvl w:val="0"/>
          <w:numId w:val="44"/>
        </w:numPr>
        <w:spacing w:before="0" w:after="0"/>
        <w:jc w:val="both"/>
        <w:rPr>
          <w:rFonts w:cs="Arial"/>
        </w:rPr>
      </w:pPr>
      <w:r>
        <w:rPr>
          <w:rFonts w:cs="Arial"/>
        </w:rPr>
        <w:t xml:space="preserve">CSIRO Letter - </w:t>
      </w:r>
      <w:r w:rsidRPr="00325EBA">
        <w:rPr>
          <w:rFonts w:cs="Arial"/>
        </w:rPr>
        <w:t>Development and opportunities for the Torres Strait lobster TIB sector</w:t>
      </w:r>
      <w:r>
        <w:rPr>
          <w:rFonts w:cs="Arial"/>
        </w:rPr>
        <w:t>.</w:t>
      </w:r>
    </w:p>
    <w:p w:rsidR="00325EBA" w:rsidRPr="00325EBA" w:rsidRDefault="00325EBA" w:rsidP="00325EBA">
      <w:pPr>
        <w:pStyle w:val="ListParagraph"/>
        <w:numPr>
          <w:ilvl w:val="0"/>
          <w:numId w:val="44"/>
        </w:numPr>
        <w:spacing w:before="0" w:after="0"/>
        <w:jc w:val="both"/>
        <w:rPr>
          <w:rFonts w:cs="Arial"/>
        </w:rPr>
      </w:pPr>
      <w:r w:rsidRPr="00325EBA">
        <w:rPr>
          <w:rFonts w:cs="Arial"/>
        </w:rPr>
        <w:t>Preliminary Research Proposal - Development and opportunities for the Torres Strait lobster TIB sector.</w:t>
      </w:r>
    </w:p>
    <w:sectPr w:rsidR="00325EBA" w:rsidRPr="00325EBA" w:rsidSect="005971E3">
      <w:headerReference w:type="default" r:id="rId11"/>
      <w:footerReference w:type="default" r:id="rId12"/>
      <w:pgSz w:w="11906" w:h="16838" w:code="9"/>
      <w:pgMar w:top="1021" w:right="1134" w:bottom="1021" w:left="1134" w:header="340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A4" w:rsidRDefault="00E54AA4">
      <w:pPr>
        <w:spacing w:after="0" w:line="240" w:lineRule="auto"/>
      </w:pPr>
      <w:r>
        <w:separator/>
      </w:r>
    </w:p>
  </w:endnote>
  <w:endnote w:type="continuationSeparator" w:id="0">
    <w:p w:rsidR="00E54AA4" w:rsidRDefault="00E5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  <w:tblCaption w:val="Document Information"/>
      <w:tblDescription w:val="Document title, subtitle, and page numbers"/>
    </w:tblPr>
    <w:tblGrid>
      <w:gridCol w:w="7472"/>
      <w:gridCol w:w="1391"/>
      <w:gridCol w:w="889"/>
    </w:tblGrid>
    <w:tr w:rsidR="00D95D25" w:rsidTr="0085005D">
      <w:trPr>
        <w:trHeight w:val="70"/>
      </w:trPr>
      <w:tc>
        <w:tcPr>
          <w:tcW w:w="3831" w:type="pct"/>
          <w:tcBorders>
            <w:top w:val="single" w:sz="8" w:space="0" w:color="808080"/>
            <w:bottom w:val="single" w:sz="8" w:space="0" w:color="808080"/>
          </w:tcBorders>
          <w:shd w:val="clear" w:color="auto" w:fill="FFFFFF" w:themeFill="background1"/>
          <w:vAlign w:val="center"/>
        </w:tcPr>
        <w:p w:rsidR="00D95D25" w:rsidRPr="00634A78" w:rsidRDefault="00D95D25" w:rsidP="00301500">
          <w:pPr>
            <w:pStyle w:val="Footer"/>
          </w:pPr>
          <w:r>
            <w:rPr>
              <w:rStyle w:val="footerfieldtextChar"/>
            </w:rPr>
            <w:t xml:space="preserve">Torres Strait Tropical Rock Lobster Resource Assessment and Working Group </w:t>
          </w:r>
          <w:r w:rsidR="00B70B17">
            <w:fldChar w:fldCharType="begin"/>
          </w:r>
          <w:r w:rsidR="00B70B17">
            <w:instrText xml:space="preserve"> STYLEREF  Subtitle  \* MERGEFORMAT </w:instrText>
          </w:r>
          <w:r w:rsidR="00B70B17">
            <w:fldChar w:fldCharType="separate"/>
          </w:r>
          <w:r w:rsidR="00B70B17">
            <w:rPr>
              <w:noProof/>
            </w:rPr>
            <w:t>Teleconference</w:t>
          </w:r>
          <w:r w:rsidR="00B70B17">
            <w:rPr>
              <w:noProof/>
            </w:rPr>
            <w:fldChar w:fldCharType="end"/>
          </w:r>
          <w:r w:rsidRPr="00ED2212">
            <w:t xml:space="preserve">  </w:t>
          </w:r>
          <w:r w:rsidRPr="00634A78">
            <w:tab/>
          </w:r>
        </w:p>
      </w:tc>
      <w:tc>
        <w:tcPr>
          <w:tcW w:w="713" w:type="pct"/>
          <w:tcBorders>
            <w:top w:val="single" w:sz="8" w:space="0" w:color="808080"/>
            <w:bottom w:val="single" w:sz="8" w:space="0" w:color="808080"/>
          </w:tcBorders>
          <w:shd w:val="clear" w:color="auto" w:fill="333333"/>
          <w:vAlign w:val="center"/>
        </w:tcPr>
        <w:p w:rsidR="00D95D25" w:rsidRPr="00634A78" w:rsidRDefault="00D95D25" w:rsidP="00281712">
          <w:pPr>
            <w:pStyle w:val="Footer"/>
            <w:jc w:val="center"/>
            <w:rPr>
              <w:color w:val="FFFFFF" w:themeColor="background1"/>
            </w:rPr>
          </w:pPr>
          <w:r w:rsidRPr="00634A78">
            <w:rPr>
              <w:color w:val="FFFFFF" w:themeColor="background1"/>
              <w:sz w:val="24"/>
              <w:szCs w:val="24"/>
            </w:rPr>
            <w:t>afma.gov.au</w:t>
          </w:r>
        </w:p>
      </w:tc>
      <w:tc>
        <w:tcPr>
          <w:tcW w:w="456" w:type="pct"/>
          <w:tcBorders>
            <w:top w:val="single" w:sz="8" w:space="0" w:color="808080"/>
            <w:bottom w:val="single" w:sz="8" w:space="0" w:color="808080"/>
          </w:tcBorders>
          <w:vAlign w:val="center"/>
        </w:tcPr>
        <w:p w:rsidR="00D95D25" w:rsidRPr="00E90CC3" w:rsidRDefault="00D95D25" w:rsidP="00281712">
          <w:pPr>
            <w:pStyle w:val="Footer"/>
            <w:jc w:val="center"/>
            <w:rPr>
              <w:color w:val="808080"/>
              <w:sz w:val="24"/>
              <w:szCs w:val="24"/>
            </w:rPr>
          </w:pP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PAGE  \* Arabic  \* MERGEFORMAT </w:instrText>
          </w:r>
          <w:r w:rsidRPr="00634A78">
            <w:rPr>
              <w:b/>
            </w:rPr>
            <w:fldChar w:fldCharType="separate"/>
          </w:r>
          <w:r w:rsidR="00B70B17">
            <w:rPr>
              <w:b/>
              <w:noProof/>
            </w:rPr>
            <w:t>3</w:t>
          </w:r>
          <w:r w:rsidRPr="00634A78">
            <w:rPr>
              <w:b/>
            </w:rPr>
            <w:fldChar w:fldCharType="end"/>
          </w:r>
          <w:r w:rsidRPr="00634A78">
            <w:t xml:space="preserve"> of </w:t>
          </w: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NUMPAGES  \* Arabic  \* MERGEFORMAT </w:instrText>
          </w:r>
          <w:r w:rsidRPr="00634A78">
            <w:rPr>
              <w:b/>
            </w:rPr>
            <w:fldChar w:fldCharType="separate"/>
          </w:r>
          <w:r w:rsidR="00B70B17">
            <w:rPr>
              <w:b/>
              <w:noProof/>
            </w:rPr>
            <w:t>7</w:t>
          </w:r>
          <w:r w:rsidRPr="00634A78">
            <w:rPr>
              <w:b/>
            </w:rPr>
            <w:fldChar w:fldCharType="end"/>
          </w:r>
        </w:p>
      </w:tc>
    </w:tr>
  </w:tbl>
  <w:p w:rsidR="00D95D25" w:rsidRPr="00217825" w:rsidRDefault="00D95D25" w:rsidP="00281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A4" w:rsidRDefault="00E54AA4">
      <w:pPr>
        <w:spacing w:after="0" w:line="240" w:lineRule="auto"/>
      </w:pPr>
      <w:r>
        <w:separator/>
      </w:r>
    </w:p>
  </w:footnote>
  <w:footnote w:type="continuationSeparator" w:id="0">
    <w:p w:rsidR="00E54AA4" w:rsidRDefault="00E5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25" w:rsidRDefault="00D95D25" w:rsidP="00281712">
    <w:pPr>
      <w:pStyle w:val="Header"/>
      <w:ind w:left="-1985" w:firstLine="1985"/>
    </w:pPr>
    <w:r w:rsidRPr="00DD76F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92E65" wp14:editId="6D95CAE1">
              <wp:simplePos x="0" y="0"/>
              <wp:positionH relativeFrom="page">
                <wp:posOffset>676894</wp:posOffset>
              </wp:positionH>
              <wp:positionV relativeFrom="page">
                <wp:posOffset>1520042</wp:posOffset>
              </wp:positionV>
              <wp:extent cx="3959860" cy="3733156"/>
              <wp:effectExtent l="0" t="0" r="2540" b="1270"/>
              <wp:wrapNone/>
              <wp:docPr id="12" name="Rectangle 12" descr="Graphic Rectangle" title="Graphic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3733156"/>
                      </a:xfrm>
                      <a:prstGeom prst="rect">
                        <a:avLst/>
                      </a:prstGeom>
                      <a:solidFill>
                        <a:schemeClr val="tx1">
                          <a:alpha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D9EFCC" id="Rectangle 12" o:spid="_x0000_s1026" alt="Title: Graphic Rectangle - Description: Graphic Rectangle" style="position:absolute;margin-left:53.3pt;margin-top:119.7pt;width:311.8pt;height:2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" fillcolor="black [3213]" stroked="f" strokeweight="2pt">
              <v:fill opacity="55769f"/>
              <w10:wrap anchorx="page" anchory="page"/>
            </v:rect>
          </w:pict>
        </mc:Fallback>
      </mc:AlternateContent>
    </w:r>
    <w:r w:rsidRPr="000E0AE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95130D" wp14:editId="40089032">
              <wp:simplePos x="0" y="0"/>
              <wp:positionH relativeFrom="page">
                <wp:posOffset>681990</wp:posOffset>
              </wp:positionH>
              <wp:positionV relativeFrom="page">
                <wp:posOffset>5251823</wp:posOffset>
              </wp:positionV>
              <wp:extent cx="3959860" cy="1295400"/>
              <wp:effectExtent l="0" t="0" r="2540" b="0"/>
              <wp:wrapNone/>
              <wp:docPr id="6" name="Rectangle 6" descr="Graphic Rectangle" title="Graphic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1295400"/>
                      </a:xfrm>
                      <a:prstGeom prst="rect">
                        <a:avLst/>
                      </a:prstGeom>
                      <a:solidFill>
                        <a:srgbClr val="006C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5C2D1CA" id="Rectangle 6" o:spid="_x0000_s1026" alt="Title: Graphic Rectangle - Description: Graphic Rectangle" style="position:absolute;margin-left:53.7pt;margin-top:413.55pt;width:311.8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" fillcolor="#006c8b" stroked="f" strokeweight="2pt"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90AA07" wp14:editId="7FD79C8A">
              <wp:simplePos x="0" y="0"/>
              <wp:positionH relativeFrom="page">
                <wp:posOffset>7021195</wp:posOffset>
              </wp:positionH>
              <wp:positionV relativeFrom="page">
                <wp:posOffset>1962150</wp:posOffset>
              </wp:positionV>
              <wp:extent cx="324000" cy="6731640"/>
              <wp:effectExtent l="0" t="0" r="0" b="1206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000" cy="673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5D25" w:rsidRPr="00932135" w:rsidRDefault="00D95D25" w:rsidP="00281712">
                          <w:pPr>
                            <w:pStyle w:val="SideBarText"/>
                          </w:pPr>
                          <w:r w:rsidRPr="00932135">
                            <w:t xml:space="preserve">Box 7051, Canberra Business Centre, ACT 2610 / </w:t>
                          </w:r>
                          <w:proofErr w:type="spellStart"/>
                          <w:r w:rsidRPr="00932135">
                            <w:t>Ph</w:t>
                          </w:r>
                          <w:proofErr w:type="spellEnd"/>
                          <w:r w:rsidRPr="00932135">
                            <w:t xml:space="preserve"> (02) 6225 5555 / Fax (02) 6225 5500 / AFMA Direct 1300 723 621 </w:t>
                          </w:r>
                          <w:r>
                            <w:t xml:space="preserve">  </w:t>
                          </w:r>
                          <w:hyperlink r:id="rId1" w:history="1">
                            <w:r w:rsidRPr="00932135">
                              <w:rPr>
                                <w:rStyle w:val="Hyperlink"/>
                                <w:rFonts w:cstheme="minorBidi"/>
                                <w:b/>
                              </w:rPr>
                              <w:t>afma.gov.au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552.85pt;margin-top:154.5pt;width:25.5pt;height:530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" filled="f" stroked="f" strokeweight=".5pt">
              <v:textbox style="layout-flow:vertical;mso-layout-flow-alt:bottom-to-top" inset="0,0,0,0">
                <w:txbxContent>
                  <w:p w:rsidR="00D95D25" w:rsidRPr="00932135" w:rsidRDefault="00D95D25" w:rsidP="00281712">
                    <w:pPr>
                      <w:pStyle w:val="SideBarText"/>
                    </w:pPr>
                    <w:r w:rsidRPr="00932135">
                      <w:t xml:space="preserve">Box 7051, Canberra Business Centre, ACT 2610 / </w:t>
                    </w:r>
                    <w:proofErr w:type="spellStart"/>
                    <w:r w:rsidRPr="00932135">
                      <w:t>Ph</w:t>
                    </w:r>
                    <w:proofErr w:type="spellEnd"/>
                    <w:r w:rsidRPr="00932135">
                      <w:t xml:space="preserve"> (02) 6225 5555 / Fax (02) 6225 5500 / AFMA Direct 1300 723 621 </w:t>
                    </w:r>
                    <w:r>
                      <w:t xml:space="preserve">  </w:t>
                    </w:r>
                    <w:hyperlink r:id="rId2" w:history="1">
                      <w:r w:rsidRPr="00932135">
                        <w:rPr>
                          <w:rStyle w:val="Hyperlink"/>
                          <w:rFonts w:cstheme="minorBidi"/>
                          <w:b/>
                        </w:rPr>
                        <w:t>afma.gov.au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13955"/>
      <w:docPartObj>
        <w:docPartGallery w:val="Watermarks"/>
        <w:docPartUnique/>
      </w:docPartObj>
    </w:sdtPr>
    <w:sdtEndPr/>
    <w:sdtContent>
      <w:p w:rsidR="00D95D25" w:rsidRDefault="00B70B17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D95D25" w:rsidRDefault="00D95D25" w:rsidP="0028171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AAE"/>
    <w:multiLevelType w:val="hybridMultilevel"/>
    <w:tmpl w:val="B6F43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5A86"/>
    <w:multiLevelType w:val="hybridMultilevel"/>
    <w:tmpl w:val="1DD4A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B018A"/>
    <w:multiLevelType w:val="multilevel"/>
    <w:tmpl w:val="D9D8D3D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umbered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umbered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-Numbered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-Numbered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-Numbered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F397D60"/>
    <w:multiLevelType w:val="multilevel"/>
    <w:tmpl w:val="AF1C47E0"/>
    <w:lvl w:ilvl="0">
      <w:start w:val="1"/>
      <w:numFmt w:val="decimal"/>
      <w:pStyle w:val="AFMA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4965CE"/>
    <w:multiLevelType w:val="hybridMultilevel"/>
    <w:tmpl w:val="1B389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2554D"/>
    <w:multiLevelType w:val="hybridMultilevel"/>
    <w:tmpl w:val="3F3C6FF8"/>
    <w:lvl w:ilvl="0" w:tplc="F6C0EF6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75BCD"/>
    <w:multiLevelType w:val="hybridMultilevel"/>
    <w:tmpl w:val="31248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22B3E"/>
    <w:multiLevelType w:val="hybridMultilevel"/>
    <w:tmpl w:val="00EA4BCA"/>
    <w:lvl w:ilvl="0" w:tplc="1DE080D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D7470"/>
    <w:multiLevelType w:val="hybridMultilevel"/>
    <w:tmpl w:val="9FA4C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734D4"/>
    <w:multiLevelType w:val="multilevel"/>
    <w:tmpl w:val="D5A4A8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2455B9"/>
    <w:multiLevelType w:val="hybridMultilevel"/>
    <w:tmpl w:val="F6DAC8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80A83"/>
    <w:multiLevelType w:val="hybridMultilevel"/>
    <w:tmpl w:val="DDEC3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93FF3"/>
    <w:multiLevelType w:val="hybridMultilevel"/>
    <w:tmpl w:val="09788AF2"/>
    <w:lvl w:ilvl="0" w:tplc="F6C0EF6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E0822"/>
    <w:multiLevelType w:val="hybridMultilevel"/>
    <w:tmpl w:val="7A8CB2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5210B7"/>
    <w:multiLevelType w:val="hybridMultilevel"/>
    <w:tmpl w:val="09EE2C90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044100"/>
    <w:multiLevelType w:val="hybridMultilevel"/>
    <w:tmpl w:val="11960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F5271"/>
    <w:multiLevelType w:val="hybridMultilevel"/>
    <w:tmpl w:val="F51CE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92990"/>
    <w:multiLevelType w:val="hybridMultilevel"/>
    <w:tmpl w:val="6172F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F096C"/>
    <w:multiLevelType w:val="hybridMultilevel"/>
    <w:tmpl w:val="4ED845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70C9B"/>
    <w:multiLevelType w:val="hybridMultilevel"/>
    <w:tmpl w:val="3E36F74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9C46C5"/>
    <w:multiLevelType w:val="hybridMultilevel"/>
    <w:tmpl w:val="8BB646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C7088"/>
    <w:multiLevelType w:val="hybridMultilevel"/>
    <w:tmpl w:val="57BE6F6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D0117"/>
    <w:multiLevelType w:val="hybridMultilevel"/>
    <w:tmpl w:val="18FCF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D01AA"/>
    <w:multiLevelType w:val="hybridMultilevel"/>
    <w:tmpl w:val="0B621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32897"/>
    <w:multiLevelType w:val="hybridMultilevel"/>
    <w:tmpl w:val="21541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8003E"/>
    <w:multiLevelType w:val="hybridMultilevel"/>
    <w:tmpl w:val="BC0A7E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D81BCA"/>
    <w:multiLevelType w:val="hybridMultilevel"/>
    <w:tmpl w:val="7630A116"/>
    <w:lvl w:ilvl="0" w:tplc="54D86CA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A7E57"/>
    <w:multiLevelType w:val="hybridMultilevel"/>
    <w:tmpl w:val="F916890E"/>
    <w:lvl w:ilvl="0" w:tplc="A3A45D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16399"/>
    <w:multiLevelType w:val="hybridMultilevel"/>
    <w:tmpl w:val="48D47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832C5"/>
    <w:multiLevelType w:val="hybridMultilevel"/>
    <w:tmpl w:val="FC446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C17F4"/>
    <w:multiLevelType w:val="hybridMultilevel"/>
    <w:tmpl w:val="402AD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816F3"/>
    <w:multiLevelType w:val="hybridMultilevel"/>
    <w:tmpl w:val="AB0C9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93F03"/>
    <w:multiLevelType w:val="hybridMultilevel"/>
    <w:tmpl w:val="14C654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33322"/>
    <w:multiLevelType w:val="hybridMultilevel"/>
    <w:tmpl w:val="AA307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07CE5"/>
    <w:multiLevelType w:val="hybridMultilevel"/>
    <w:tmpl w:val="63308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424C8"/>
    <w:multiLevelType w:val="hybridMultilevel"/>
    <w:tmpl w:val="634832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D6185"/>
    <w:multiLevelType w:val="hybridMultilevel"/>
    <w:tmpl w:val="F628F9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A250E"/>
    <w:multiLevelType w:val="hybridMultilevel"/>
    <w:tmpl w:val="789697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3487A"/>
    <w:multiLevelType w:val="hybridMultilevel"/>
    <w:tmpl w:val="5454B2C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9"/>
  </w:num>
  <w:num w:numId="5">
    <w:abstractNumId w:val="17"/>
  </w:num>
  <w:num w:numId="6">
    <w:abstractNumId w:val="35"/>
  </w:num>
  <w:num w:numId="7">
    <w:abstractNumId w:val="4"/>
  </w:num>
  <w:num w:numId="8">
    <w:abstractNumId w:val="36"/>
  </w:num>
  <w:num w:numId="9">
    <w:abstractNumId w:val="27"/>
  </w:num>
  <w:num w:numId="10">
    <w:abstractNumId w:val="33"/>
  </w:num>
  <w:num w:numId="11">
    <w:abstractNumId w:val="30"/>
  </w:num>
  <w:num w:numId="12">
    <w:abstractNumId w:val="24"/>
  </w:num>
  <w:num w:numId="13">
    <w:abstractNumId w:val="10"/>
  </w:num>
  <w:num w:numId="14">
    <w:abstractNumId w:val="19"/>
  </w:num>
  <w:num w:numId="15">
    <w:abstractNumId w:val="16"/>
  </w:num>
  <w:num w:numId="16">
    <w:abstractNumId w:val="7"/>
  </w:num>
  <w:num w:numId="17">
    <w:abstractNumId w:val="29"/>
  </w:num>
  <w:num w:numId="18">
    <w:abstractNumId w:val="38"/>
  </w:num>
  <w:num w:numId="19">
    <w:abstractNumId w:val="37"/>
  </w:num>
  <w:num w:numId="20">
    <w:abstractNumId w:val="14"/>
  </w:num>
  <w:num w:numId="21">
    <w:abstractNumId w:val="31"/>
  </w:num>
  <w:num w:numId="22">
    <w:abstractNumId w:val="6"/>
  </w:num>
  <w:num w:numId="23">
    <w:abstractNumId w:val="5"/>
  </w:num>
  <w:num w:numId="24">
    <w:abstractNumId w:val="12"/>
  </w:num>
  <w:num w:numId="25">
    <w:abstractNumId w:val="20"/>
  </w:num>
  <w:num w:numId="26">
    <w:abstractNumId w:val="11"/>
  </w:num>
  <w:num w:numId="27">
    <w:abstractNumId w:val="25"/>
  </w:num>
  <w:num w:numId="28">
    <w:abstractNumId w:val="28"/>
  </w:num>
  <w:num w:numId="29">
    <w:abstractNumId w:val="23"/>
  </w:num>
  <w:num w:numId="30">
    <w:abstractNumId w:val="13"/>
  </w:num>
  <w:num w:numId="31">
    <w:abstractNumId w:val="1"/>
  </w:num>
  <w:num w:numId="32">
    <w:abstractNumId w:val="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0"/>
  </w:num>
  <w:num w:numId="41">
    <w:abstractNumId w:val="34"/>
  </w:num>
  <w:num w:numId="42">
    <w:abstractNumId w:val="18"/>
  </w:num>
  <w:num w:numId="43">
    <w:abstractNumId w:val="15"/>
  </w:num>
  <w:num w:numId="44">
    <w:abstractNumId w:val="21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n Knuckey">
    <w15:presenceInfo w15:providerId="Windows Live" w15:userId="f48bd7ac066c4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56"/>
    <w:rsid w:val="00001FC0"/>
    <w:rsid w:val="00024402"/>
    <w:rsid w:val="0003044A"/>
    <w:rsid w:val="00033A96"/>
    <w:rsid w:val="00041CE8"/>
    <w:rsid w:val="0004292F"/>
    <w:rsid w:val="000432ED"/>
    <w:rsid w:val="000504BD"/>
    <w:rsid w:val="0005224E"/>
    <w:rsid w:val="000522DC"/>
    <w:rsid w:val="0005713E"/>
    <w:rsid w:val="00063747"/>
    <w:rsid w:val="00072566"/>
    <w:rsid w:val="00076233"/>
    <w:rsid w:val="0009296B"/>
    <w:rsid w:val="00093FCB"/>
    <w:rsid w:val="00094EEB"/>
    <w:rsid w:val="000C0A19"/>
    <w:rsid w:val="000C3C2E"/>
    <w:rsid w:val="000D360F"/>
    <w:rsid w:val="000D5579"/>
    <w:rsid w:val="000E737E"/>
    <w:rsid w:val="000F5828"/>
    <w:rsid w:val="0010351C"/>
    <w:rsid w:val="00105C96"/>
    <w:rsid w:val="0010795D"/>
    <w:rsid w:val="00111324"/>
    <w:rsid w:val="00135EB8"/>
    <w:rsid w:val="00137523"/>
    <w:rsid w:val="00137A7F"/>
    <w:rsid w:val="00146E88"/>
    <w:rsid w:val="00151DF4"/>
    <w:rsid w:val="00156389"/>
    <w:rsid w:val="001B067F"/>
    <w:rsid w:val="001C616F"/>
    <w:rsid w:val="001F1ACD"/>
    <w:rsid w:val="001F4DFD"/>
    <w:rsid w:val="00211979"/>
    <w:rsid w:val="002129CF"/>
    <w:rsid w:val="0022276C"/>
    <w:rsid w:val="00227DAB"/>
    <w:rsid w:val="00252B52"/>
    <w:rsid w:val="00266C90"/>
    <w:rsid w:val="00272C0D"/>
    <w:rsid w:val="0027377B"/>
    <w:rsid w:val="00281712"/>
    <w:rsid w:val="002826F5"/>
    <w:rsid w:val="002A36E9"/>
    <w:rsid w:val="002A5F44"/>
    <w:rsid w:val="002B2655"/>
    <w:rsid w:val="002D13F7"/>
    <w:rsid w:val="002E4E12"/>
    <w:rsid w:val="002F0F67"/>
    <w:rsid w:val="002F50BE"/>
    <w:rsid w:val="00301500"/>
    <w:rsid w:val="00306953"/>
    <w:rsid w:val="00325EBA"/>
    <w:rsid w:val="00327B70"/>
    <w:rsid w:val="003441D6"/>
    <w:rsid w:val="0034750E"/>
    <w:rsid w:val="00347824"/>
    <w:rsid w:val="003537B1"/>
    <w:rsid w:val="00361AB5"/>
    <w:rsid w:val="00371018"/>
    <w:rsid w:val="00375105"/>
    <w:rsid w:val="003A7365"/>
    <w:rsid w:val="003C4C67"/>
    <w:rsid w:val="003D3E1E"/>
    <w:rsid w:val="003E21CD"/>
    <w:rsid w:val="003F4C2E"/>
    <w:rsid w:val="004009E3"/>
    <w:rsid w:val="00426BFC"/>
    <w:rsid w:val="00427E39"/>
    <w:rsid w:val="0043793E"/>
    <w:rsid w:val="0045237F"/>
    <w:rsid w:val="00492D88"/>
    <w:rsid w:val="004A1F28"/>
    <w:rsid w:val="004C2D27"/>
    <w:rsid w:val="004C44BA"/>
    <w:rsid w:val="004C48DD"/>
    <w:rsid w:val="004D5263"/>
    <w:rsid w:val="004D54C9"/>
    <w:rsid w:val="004D6846"/>
    <w:rsid w:val="004D7574"/>
    <w:rsid w:val="004E2F2D"/>
    <w:rsid w:val="004E5AD9"/>
    <w:rsid w:val="004F4466"/>
    <w:rsid w:val="00544100"/>
    <w:rsid w:val="00545179"/>
    <w:rsid w:val="00550C9D"/>
    <w:rsid w:val="005565D7"/>
    <w:rsid w:val="00564132"/>
    <w:rsid w:val="00567B76"/>
    <w:rsid w:val="005918D8"/>
    <w:rsid w:val="00591AA5"/>
    <w:rsid w:val="0059496E"/>
    <w:rsid w:val="005971E3"/>
    <w:rsid w:val="005A2CA8"/>
    <w:rsid w:val="005B010C"/>
    <w:rsid w:val="005C1F14"/>
    <w:rsid w:val="005D2ACC"/>
    <w:rsid w:val="005D3105"/>
    <w:rsid w:val="005D339B"/>
    <w:rsid w:val="005D51F2"/>
    <w:rsid w:val="005E427B"/>
    <w:rsid w:val="005F7466"/>
    <w:rsid w:val="006102F5"/>
    <w:rsid w:val="0061037E"/>
    <w:rsid w:val="00613EF7"/>
    <w:rsid w:val="006157CE"/>
    <w:rsid w:val="00634690"/>
    <w:rsid w:val="00634B8A"/>
    <w:rsid w:val="00642881"/>
    <w:rsid w:val="0064381F"/>
    <w:rsid w:val="00646F9F"/>
    <w:rsid w:val="00677439"/>
    <w:rsid w:val="00680FAE"/>
    <w:rsid w:val="006849B3"/>
    <w:rsid w:val="00694465"/>
    <w:rsid w:val="006A2013"/>
    <w:rsid w:val="006B7357"/>
    <w:rsid w:val="006C1503"/>
    <w:rsid w:val="006D648F"/>
    <w:rsid w:val="006E7026"/>
    <w:rsid w:val="006F000D"/>
    <w:rsid w:val="006F16AD"/>
    <w:rsid w:val="007103E9"/>
    <w:rsid w:val="00717FFC"/>
    <w:rsid w:val="00722D17"/>
    <w:rsid w:val="00723209"/>
    <w:rsid w:val="007238FD"/>
    <w:rsid w:val="00724B6C"/>
    <w:rsid w:val="0073357E"/>
    <w:rsid w:val="007355A4"/>
    <w:rsid w:val="007456DC"/>
    <w:rsid w:val="007529CF"/>
    <w:rsid w:val="00755256"/>
    <w:rsid w:val="00763382"/>
    <w:rsid w:val="00767586"/>
    <w:rsid w:val="007678BD"/>
    <w:rsid w:val="00786B6D"/>
    <w:rsid w:val="007B5996"/>
    <w:rsid w:val="007B59F2"/>
    <w:rsid w:val="007D082A"/>
    <w:rsid w:val="007D6A68"/>
    <w:rsid w:val="007D7FED"/>
    <w:rsid w:val="007F1098"/>
    <w:rsid w:val="0081236E"/>
    <w:rsid w:val="00821E59"/>
    <w:rsid w:val="0082643D"/>
    <w:rsid w:val="0084034A"/>
    <w:rsid w:val="0085005D"/>
    <w:rsid w:val="008606F6"/>
    <w:rsid w:val="00873971"/>
    <w:rsid w:val="00873B5D"/>
    <w:rsid w:val="00883D82"/>
    <w:rsid w:val="00893CAB"/>
    <w:rsid w:val="00896FA2"/>
    <w:rsid w:val="008A75B2"/>
    <w:rsid w:val="008C2635"/>
    <w:rsid w:val="008C7469"/>
    <w:rsid w:val="008E0555"/>
    <w:rsid w:val="008E2091"/>
    <w:rsid w:val="00917302"/>
    <w:rsid w:val="00921323"/>
    <w:rsid w:val="00923091"/>
    <w:rsid w:val="009249F6"/>
    <w:rsid w:val="009259E1"/>
    <w:rsid w:val="00931D0F"/>
    <w:rsid w:val="00934EAD"/>
    <w:rsid w:val="00935BBF"/>
    <w:rsid w:val="00971E9E"/>
    <w:rsid w:val="009720DD"/>
    <w:rsid w:val="00972D40"/>
    <w:rsid w:val="00997228"/>
    <w:rsid w:val="009A0896"/>
    <w:rsid w:val="009A76B7"/>
    <w:rsid w:val="009D0EB3"/>
    <w:rsid w:val="009F6A0E"/>
    <w:rsid w:val="009F78EA"/>
    <w:rsid w:val="00A12054"/>
    <w:rsid w:val="00A4763A"/>
    <w:rsid w:val="00A51982"/>
    <w:rsid w:val="00A73E3D"/>
    <w:rsid w:val="00A84C35"/>
    <w:rsid w:val="00AA0A0A"/>
    <w:rsid w:val="00AC6078"/>
    <w:rsid w:val="00AD55BF"/>
    <w:rsid w:val="00AD566E"/>
    <w:rsid w:val="00AD6ADF"/>
    <w:rsid w:val="00B04ED8"/>
    <w:rsid w:val="00B07860"/>
    <w:rsid w:val="00B305AE"/>
    <w:rsid w:val="00B30A43"/>
    <w:rsid w:val="00B30DF0"/>
    <w:rsid w:val="00B3316B"/>
    <w:rsid w:val="00B41B24"/>
    <w:rsid w:val="00B469C0"/>
    <w:rsid w:val="00B56F1E"/>
    <w:rsid w:val="00B67798"/>
    <w:rsid w:val="00B70B17"/>
    <w:rsid w:val="00B862B0"/>
    <w:rsid w:val="00B93E53"/>
    <w:rsid w:val="00BB5131"/>
    <w:rsid w:val="00BB7E62"/>
    <w:rsid w:val="00BC7399"/>
    <w:rsid w:val="00BF6518"/>
    <w:rsid w:val="00C66178"/>
    <w:rsid w:val="00C72036"/>
    <w:rsid w:val="00C765A5"/>
    <w:rsid w:val="00CA096E"/>
    <w:rsid w:val="00CC2F99"/>
    <w:rsid w:val="00CD1976"/>
    <w:rsid w:val="00CD5B36"/>
    <w:rsid w:val="00CE28D7"/>
    <w:rsid w:val="00CF41A7"/>
    <w:rsid w:val="00D03FF7"/>
    <w:rsid w:val="00D12815"/>
    <w:rsid w:val="00D35500"/>
    <w:rsid w:val="00D447BC"/>
    <w:rsid w:val="00D51FDE"/>
    <w:rsid w:val="00D61494"/>
    <w:rsid w:val="00D65FD0"/>
    <w:rsid w:val="00D82745"/>
    <w:rsid w:val="00D84F19"/>
    <w:rsid w:val="00D920EE"/>
    <w:rsid w:val="00D95D25"/>
    <w:rsid w:val="00D9736E"/>
    <w:rsid w:val="00DA265D"/>
    <w:rsid w:val="00DB12A0"/>
    <w:rsid w:val="00DC15F2"/>
    <w:rsid w:val="00DE588B"/>
    <w:rsid w:val="00DF6E1A"/>
    <w:rsid w:val="00E06BFD"/>
    <w:rsid w:val="00E06DC2"/>
    <w:rsid w:val="00E1468A"/>
    <w:rsid w:val="00E247DD"/>
    <w:rsid w:val="00E2591A"/>
    <w:rsid w:val="00E54AA4"/>
    <w:rsid w:val="00EB2242"/>
    <w:rsid w:val="00EC10E8"/>
    <w:rsid w:val="00EE3F76"/>
    <w:rsid w:val="00EF4643"/>
    <w:rsid w:val="00F013CC"/>
    <w:rsid w:val="00F118EA"/>
    <w:rsid w:val="00F12B7C"/>
    <w:rsid w:val="00F16918"/>
    <w:rsid w:val="00F2251C"/>
    <w:rsid w:val="00F22979"/>
    <w:rsid w:val="00F3651A"/>
    <w:rsid w:val="00F61492"/>
    <w:rsid w:val="00FA26D7"/>
    <w:rsid w:val="00FA5041"/>
    <w:rsid w:val="00FA5A7D"/>
    <w:rsid w:val="00FA6DCF"/>
    <w:rsid w:val="00FB24FC"/>
    <w:rsid w:val="00FC69C2"/>
    <w:rsid w:val="00FD5FFE"/>
    <w:rsid w:val="00FE47A3"/>
    <w:rsid w:val="00FF3D93"/>
    <w:rsid w:val="00FF3EB9"/>
    <w:rsid w:val="00FF68A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E8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A96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A96"/>
    <w:pPr>
      <w:keepNext/>
      <w:keepLines/>
      <w:pBdr>
        <w:bottom w:val="single" w:sz="12" w:space="1" w:color="093E52"/>
      </w:pBdr>
      <w:suppressAutoHyphens/>
      <w:spacing w:before="360" w:line="300" w:lineRule="atLeast"/>
      <w:contextualSpacing/>
      <w:outlineLvl w:val="1"/>
    </w:pPr>
    <w:rPr>
      <w:rFonts w:eastAsiaTheme="majorEastAsia" w:cstheme="majorHAnsi"/>
      <w:b/>
      <w:bCs/>
      <w:color w:val="093E52"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0E8"/>
    <w:pPr>
      <w:keepNext/>
      <w:keepLines/>
      <w:suppressAutoHyphens/>
      <w:spacing w:before="240" w:after="240" w:line="280" w:lineRule="atLeast"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A96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3A96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MA-default">
    <w:name w:val="AFMA - default"/>
    <w:basedOn w:val="TableNormal"/>
    <w:uiPriority w:val="99"/>
    <w:rsid w:val="00FA5A7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rsid w:val="002F50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3A96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3A96"/>
    <w:rPr>
      <w:rFonts w:ascii="Arial" w:eastAsiaTheme="majorEastAsia" w:hAnsi="Arial" w:cstheme="majorHAnsi"/>
      <w:b/>
      <w:bCs/>
      <w:color w:val="093E52"/>
      <w:spacing w:val="-4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10E8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3A96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3A96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3A96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A96"/>
    <w:rPr>
      <w:rFonts w:ascii="Arial" w:eastAsiaTheme="majorEastAsia" w:hAnsi="Arial" w:cstheme="majorBidi"/>
      <w:color w:val="093E52"/>
      <w:spacing w:val="-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96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A96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A96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ableofFigures">
    <w:name w:val="table of figures"/>
    <w:basedOn w:val="Normal"/>
    <w:next w:val="Normal"/>
    <w:uiPriority w:val="99"/>
    <w:unhideWhenUsed/>
    <w:rsid w:val="00033A96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character" w:styleId="Hyperlink">
    <w:name w:val="Hyperlink"/>
    <w:basedOn w:val="DefaultParagraphFont"/>
    <w:uiPriority w:val="99"/>
    <w:rsid w:val="00033A96"/>
    <w:rPr>
      <w:rFonts w:asciiTheme="minorHAnsi" w:hAnsiTheme="minorHAnsi" w:cs="MuseoSans-500"/>
      <w:color w:val="0000EE"/>
      <w:u w:val="single" w:color="0070C0"/>
    </w:rPr>
  </w:style>
  <w:style w:type="paragraph" w:styleId="Caption">
    <w:name w:val="caption"/>
    <w:basedOn w:val="Normal"/>
    <w:next w:val="Normal"/>
    <w:uiPriority w:val="35"/>
    <w:unhideWhenUsed/>
    <w:qFormat/>
    <w:rsid w:val="00033A96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paragraph" w:customStyle="1" w:styleId="SideBarText">
    <w:name w:val="Side Bar Text"/>
    <w:basedOn w:val="Normal"/>
    <w:qFormat/>
    <w:rsid w:val="00033A96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Header">
    <w:name w:val="header"/>
    <w:basedOn w:val="Normal"/>
    <w:link w:val="Head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33A96"/>
    <w:rPr>
      <w:rFonts w:ascii="Arial" w:hAnsi="Arial"/>
      <w:color w:val="333333"/>
      <w:spacing w:val="-4"/>
      <w:sz w:val="16"/>
    </w:rPr>
  </w:style>
  <w:style w:type="paragraph" w:styleId="Footer">
    <w:name w:val="footer"/>
    <w:basedOn w:val="Normal"/>
    <w:link w:val="Foot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A96"/>
    <w:rPr>
      <w:rFonts w:ascii="Arial" w:hAnsi="Arial"/>
      <w:color w:val="333333"/>
      <w:spacing w:val="-4"/>
      <w:sz w:val="16"/>
    </w:rPr>
  </w:style>
  <w:style w:type="paragraph" w:customStyle="1" w:styleId="AFMANumberedlist">
    <w:name w:val="AFMA Numbered list"/>
    <w:basedOn w:val="ListParagraph"/>
    <w:link w:val="AFMANumberedlistChar"/>
    <w:qFormat/>
    <w:rsid w:val="00763382"/>
    <w:pPr>
      <w:numPr>
        <w:numId w:val="1"/>
      </w:numPr>
      <w:suppressAutoHyphens/>
      <w:spacing w:before="180" w:after="60" w:line="280" w:lineRule="atLeast"/>
      <w:contextualSpacing w:val="0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763382"/>
    <w:rPr>
      <w:rFonts w:ascii="Arial" w:hAnsi="Arial" w:cstheme="minorHAnsi"/>
      <w:color w:val="333333"/>
      <w:spacing w:val="-4"/>
      <w:sz w:val="24"/>
    </w:rPr>
  </w:style>
  <w:style w:type="paragraph" w:customStyle="1" w:styleId="footerfieldtext">
    <w:name w:val="footer field text"/>
    <w:basedOn w:val="Footer"/>
    <w:link w:val="footerfieldtextChar"/>
    <w:qFormat/>
    <w:rsid w:val="00033A96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33A96"/>
    <w:rPr>
      <w:rFonts w:ascii="Arial" w:hAnsi="Arial"/>
      <w:b/>
      <w:bCs/>
      <w:noProof/>
      <w:color w:val="333333"/>
      <w:spacing w:val="-4"/>
      <w:sz w:val="16"/>
      <w:lang w:val="en-US"/>
    </w:rPr>
  </w:style>
  <w:style w:type="paragraph" w:customStyle="1" w:styleId="Heading2-Numbered">
    <w:name w:val="Heading 2 - Numbered"/>
    <w:basedOn w:val="Heading2"/>
    <w:next w:val="Normal"/>
    <w:qFormat/>
    <w:rsid w:val="00033A96"/>
    <w:pPr>
      <w:numPr>
        <w:ilvl w:val="1"/>
        <w:numId w:val="2"/>
      </w:numPr>
    </w:pPr>
  </w:style>
  <w:style w:type="paragraph" w:customStyle="1" w:styleId="Heading3-Numbered">
    <w:name w:val="Heading 3  - Numbered"/>
    <w:basedOn w:val="Heading3"/>
    <w:next w:val="Normal"/>
    <w:qFormat/>
    <w:rsid w:val="00033A96"/>
    <w:pPr>
      <w:numPr>
        <w:ilvl w:val="2"/>
        <w:numId w:val="2"/>
      </w:numPr>
    </w:pPr>
  </w:style>
  <w:style w:type="paragraph" w:customStyle="1" w:styleId="Heading4-Numbered">
    <w:name w:val="Heading 4 - Numbered"/>
    <w:basedOn w:val="Heading4"/>
    <w:next w:val="Normal"/>
    <w:qFormat/>
    <w:rsid w:val="00033A96"/>
    <w:pPr>
      <w:numPr>
        <w:ilvl w:val="3"/>
        <w:numId w:val="2"/>
      </w:numPr>
    </w:pPr>
  </w:style>
  <w:style w:type="paragraph" w:customStyle="1" w:styleId="Heading5-Numbered">
    <w:name w:val="Heading 5 - Numbered"/>
    <w:basedOn w:val="Heading5"/>
    <w:next w:val="Normal"/>
    <w:qFormat/>
    <w:rsid w:val="00033A96"/>
    <w:pPr>
      <w:numPr>
        <w:ilvl w:val="4"/>
        <w:numId w:val="2"/>
      </w:numPr>
    </w:pPr>
  </w:style>
  <w:style w:type="paragraph" w:customStyle="1" w:styleId="Heading6-Numbered">
    <w:name w:val="Heading 6 - Numbered"/>
    <w:basedOn w:val="Heading6"/>
    <w:next w:val="Normal"/>
    <w:qFormat/>
    <w:rsid w:val="00033A96"/>
    <w:pPr>
      <w:numPr>
        <w:ilvl w:val="5"/>
        <w:numId w:val="2"/>
      </w:numPr>
    </w:pPr>
  </w:style>
  <w:style w:type="paragraph" w:customStyle="1" w:styleId="Heading7-Numbered">
    <w:name w:val="Heading 7 - Numbered"/>
    <w:basedOn w:val="Heading7"/>
    <w:next w:val="Normal"/>
    <w:qFormat/>
    <w:rsid w:val="00033A96"/>
    <w:pPr>
      <w:numPr>
        <w:ilvl w:val="6"/>
        <w:numId w:val="2"/>
      </w:numPr>
    </w:pPr>
  </w:style>
  <w:style w:type="paragraph" w:customStyle="1" w:styleId="Heading8-Numbered">
    <w:name w:val="Heading 8 - Numbered"/>
    <w:basedOn w:val="Heading8"/>
    <w:next w:val="Normal"/>
    <w:qFormat/>
    <w:rsid w:val="00033A96"/>
    <w:pPr>
      <w:numPr>
        <w:ilvl w:val="7"/>
        <w:numId w:val="2"/>
      </w:numPr>
    </w:pPr>
  </w:style>
  <w:style w:type="paragraph" w:customStyle="1" w:styleId="Heading9-Numbered">
    <w:name w:val="Heading 9 - Numbered"/>
    <w:basedOn w:val="Heading9"/>
    <w:next w:val="Normal"/>
    <w:qFormat/>
    <w:rsid w:val="00033A96"/>
    <w:pPr>
      <w:numPr>
        <w:ilvl w:val="8"/>
        <w:numId w:val="2"/>
      </w:numPr>
    </w:pPr>
  </w:style>
  <w:style w:type="paragraph" w:customStyle="1" w:styleId="Liststyle">
    <w:name w:val="List style"/>
    <w:basedOn w:val="ListParagraph"/>
    <w:link w:val="ListstyleChar"/>
    <w:qFormat/>
    <w:rsid w:val="00033A96"/>
    <w:pPr>
      <w:numPr>
        <w:numId w:val="3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33A96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33A96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styleId="ListParagraph">
    <w:name w:val="List Paragraph"/>
    <w:basedOn w:val="Normal"/>
    <w:uiPriority w:val="34"/>
    <w:qFormat/>
    <w:rsid w:val="00033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6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6D7"/>
    <w:rPr>
      <w:vertAlign w:val="superscript"/>
    </w:rPr>
  </w:style>
  <w:style w:type="character" w:customStyle="1" w:styleId="DLMHeaderandFooter">
    <w:name w:val="DLM Header and Footer"/>
    <w:basedOn w:val="DefaultParagraphFont"/>
    <w:uiPriority w:val="1"/>
    <w:qFormat/>
    <w:rsid w:val="0085005D"/>
    <w:rPr>
      <w:rFonts w:ascii="Arial" w:hAnsi="Arial"/>
      <w:b/>
      <w:color w:val="FF0000"/>
      <w:spacing w:val="-4"/>
      <w:sz w:val="40"/>
    </w:rPr>
  </w:style>
  <w:style w:type="paragraph" w:customStyle="1" w:styleId="Char">
    <w:name w:val="Char"/>
    <w:basedOn w:val="Normal"/>
    <w:rsid w:val="00C72036"/>
    <w:pPr>
      <w:spacing w:after="160" w:line="240" w:lineRule="exact"/>
    </w:pPr>
    <w:rPr>
      <w:rFonts w:ascii="Verdana" w:eastAsia="Times" w:hAnsi="Verdana" w:cs="Times New Roman"/>
      <w:sz w:val="20"/>
      <w:szCs w:val="20"/>
      <w:lang w:val="en-US"/>
    </w:rPr>
  </w:style>
  <w:style w:type="paragraph" w:customStyle="1" w:styleId="AFMAstandardCharCharChar">
    <w:name w:val="AFMA standard Char Char Char"/>
    <w:link w:val="AFMAstandardCharCharCharChar"/>
    <w:rsid w:val="00C72036"/>
    <w:pPr>
      <w:tabs>
        <w:tab w:val="left" w:pos="284"/>
        <w:tab w:val="left" w:pos="567"/>
        <w:tab w:val="left" w:pos="851"/>
      </w:tabs>
      <w:spacing w:after="120" w:line="240" w:lineRule="auto"/>
      <w:jc w:val="both"/>
    </w:pPr>
    <w:rPr>
      <w:rFonts w:ascii="Arial" w:eastAsia="Times" w:hAnsi="Arial" w:cs="Times New Roman"/>
      <w:szCs w:val="20"/>
    </w:rPr>
  </w:style>
  <w:style w:type="character" w:customStyle="1" w:styleId="AFMAstandardCharCharCharChar">
    <w:name w:val="AFMA standard Char Char Char Char"/>
    <w:link w:val="AFMAstandardCharCharChar"/>
    <w:rsid w:val="00C72036"/>
    <w:rPr>
      <w:rFonts w:ascii="Arial" w:eastAsia="Times" w:hAnsi="Arial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6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0">
    <w:name w:val="Char"/>
    <w:basedOn w:val="Normal"/>
    <w:rsid w:val="00883D82"/>
    <w:pPr>
      <w:spacing w:after="160" w:line="240" w:lineRule="exact"/>
    </w:pPr>
    <w:rPr>
      <w:rFonts w:ascii="Verdana" w:eastAsia="Times" w:hAnsi="Verdan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9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89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0896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E8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A96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A96"/>
    <w:pPr>
      <w:keepNext/>
      <w:keepLines/>
      <w:pBdr>
        <w:bottom w:val="single" w:sz="12" w:space="1" w:color="093E52"/>
      </w:pBdr>
      <w:suppressAutoHyphens/>
      <w:spacing w:before="360" w:line="300" w:lineRule="atLeast"/>
      <w:contextualSpacing/>
      <w:outlineLvl w:val="1"/>
    </w:pPr>
    <w:rPr>
      <w:rFonts w:eastAsiaTheme="majorEastAsia" w:cstheme="majorHAnsi"/>
      <w:b/>
      <w:bCs/>
      <w:color w:val="093E52"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0E8"/>
    <w:pPr>
      <w:keepNext/>
      <w:keepLines/>
      <w:suppressAutoHyphens/>
      <w:spacing w:before="240" w:after="240" w:line="280" w:lineRule="atLeast"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A96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3A96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MA-default">
    <w:name w:val="AFMA - default"/>
    <w:basedOn w:val="TableNormal"/>
    <w:uiPriority w:val="99"/>
    <w:rsid w:val="00FA5A7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rsid w:val="002F50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3A96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3A96"/>
    <w:rPr>
      <w:rFonts w:ascii="Arial" w:eastAsiaTheme="majorEastAsia" w:hAnsi="Arial" w:cstheme="majorHAnsi"/>
      <w:b/>
      <w:bCs/>
      <w:color w:val="093E52"/>
      <w:spacing w:val="-4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10E8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3A96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3A96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3A96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A96"/>
    <w:rPr>
      <w:rFonts w:ascii="Arial" w:eastAsiaTheme="majorEastAsia" w:hAnsi="Arial" w:cstheme="majorBidi"/>
      <w:color w:val="093E52"/>
      <w:spacing w:val="-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96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A96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A96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ableofFigures">
    <w:name w:val="table of figures"/>
    <w:basedOn w:val="Normal"/>
    <w:next w:val="Normal"/>
    <w:uiPriority w:val="99"/>
    <w:unhideWhenUsed/>
    <w:rsid w:val="00033A96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character" w:styleId="Hyperlink">
    <w:name w:val="Hyperlink"/>
    <w:basedOn w:val="DefaultParagraphFont"/>
    <w:uiPriority w:val="99"/>
    <w:rsid w:val="00033A96"/>
    <w:rPr>
      <w:rFonts w:asciiTheme="minorHAnsi" w:hAnsiTheme="minorHAnsi" w:cs="MuseoSans-500"/>
      <w:color w:val="0000EE"/>
      <w:u w:val="single" w:color="0070C0"/>
    </w:rPr>
  </w:style>
  <w:style w:type="paragraph" w:styleId="Caption">
    <w:name w:val="caption"/>
    <w:basedOn w:val="Normal"/>
    <w:next w:val="Normal"/>
    <w:uiPriority w:val="35"/>
    <w:unhideWhenUsed/>
    <w:qFormat/>
    <w:rsid w:val="00033A96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paragraph" w:customStyle="1" w:styleId="SideBarText">
    <w:name w:val="Side Bar Text"/>
    <w:basedOn w:val="Normal"/>
    <w:qFormat/>
    <w:rsid w:val="00033A96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Header">
    <w:name w:val="header"/>
    <w:basedOn w:val="Normal"/>
    <w:link w:val="Head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33A96"/>
    <w:rPr>
      <w:rFonts w:ascii="Arial" w:hAnsi="Arial"/>
      <w:color w:val="333333"/>
      <w:spacing w:val="-4"/>
      <w:sz w:val="16"/>
    </w:rPr>
  </w:style>
  <w:style w:type="paragraph" w:styleId="Footer">
    <w:name w:val="footer"/>
    <w:basedOn w:val="Normal"/>
    <w:link w:val="Foot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A96"/>
    <w:rPr>
      <w:rFonts w:ascii="Arial" w:hAnsi="Arial"/>
      <w:color w:val="333333"/>
      <w:spacing w:val="-4"/>
      <w:sz w:val="16"/>
    </w:rPr>
  </w:style>
  <w:style w:type="paragraph" w:customStyle="1" w:styleId="AFMANumberedlist">
    <w:name w:val="AFMA Numbered list"/>
    <w:basedOn w:val="ListParagraph"/>
    <w:link w:val="AFMANumberedlistChar"/>
    <w:qFormat/>
    <w:rsid w:val="00763382"/>
    <w:pPr>
      <w:numPr>
        <w:numId w:val="1"/>
      </w:numPr>
      <w:suppressAutoHyphens/>
      <w:spacing w:before="180" w:after="60" w:line="280" w:lineRule="atLeast"/>
      <w:contextualSpacing w:val="0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763382"/>
    <w:rPr>
      <w:rFonts w:ascii="Arial" w:hAnsi="Arial" w:cstheme="minorHAnsi"/>
      <w:color w:val="333333"/>
      <w:spacing w:val="-4"/>
      <w:sz w:val="24"/>
    </w:rPr>
  </w:style>
  <w:style w:type="paragraph" w:customStyle="1" w:styleId="footerfieldtext">
    <w:name w:val="footer field text"/>
    <w:basedOn w:val="Footer"/>
    <w:link w:val="footerfieldtextChar"/>
    <w:qFormat/>
    <w:rsid w:val="00033A96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33A96"/>
    <w:rPr>
      <w:rFonts w:ascii="Arial" w:hAnsi="Arial"/>
      <w:b/>
      <w:bCs/>
      <w:noProof/>
      <w:color w:val="333333"/>
      <w:spacing w:val="-4"/>
      <w:sz w:val="16"/>
      <w:lang w:val="en-US"/>
    </w:rPr>
  </w:style>
  <w:style w:type="paragraph" w:customStyle="1" w:styleId="Heading2-Numbered">
    <w:name w:val="Heading 2 - Numbered"/>
    <w:basedOn w:val="Heading2"/>
    <w:next w:val="Normal"/>
    <w:qFormat/>
    <w:rsid w:val="00033A96"/>
    <w:pPr>
      <w:numPr>
        <w:ilvl w:val="1"/>
        <w:numId w:val="2"/>
      </w:numPr>
    </w:pPr>
  </w:style>
  <w:style w:type="paragraph" w:customStyle="1" w:styleId="Heading3-Numbered">
    <w:name w:val="Heading 3  - Numbered"/>
    <w:basedOn w:val="Heading3"/>
    <w:next w:val="Normal"/>
    <w:qFormat/>
    <w:rsid w:val="00033A96"/>
    <w:pPr>
      <w:numPr>
        <w:ilvl w:val="2"/>
        <w:numId w:val="2"/>
      </w:numPr>
    </w:pPr>
  </w:style>
  <w:style w:type="paragraph" w:customStyle="1" w:styleId="Heading4-Numbered">
    <w:name w:val="Heading 4 - Numbered"/>
    <w:basedOn w:val="Heading4"/>
    <w:next w:val="Normal"/>
    <w:qFormat/>
    <w:rsid w:val="00033A96"/>
    <w:pPr>
      <w:numPr>
        <w:ilvl w:val="3"/>
        <w:numId w:val="2"/>
      </w:numPr>
    </w:pPr>
  </w:style>
  <w:style w:type="paragraph" w:customStyle="1" w:styleId="Heading5-Numbered">
    <w:name w:val="Heading 5 - Numbered"/>
    <w:basedOn w:val="Heading5"/>
    <w:next w:val="Normal"/>
    <w:qFormat/>
    <w:rsid w:val="00033A96"/>
    <w:pPr>
      <w:numPr>
        <w:ilvl w:val="4"/>
        <w:numId w:val="2"/>
      </w:numPr>
    </w:pPr>
  </w:style>
  <w:style w:type="paragraph" w:customStyle="1" w:styleId="Heading6-Numbered">
    <w:name w:val="Heading 6 - Numbered"/>
    <w:basedOn w:val="Heading6"/>
    <w:next w:val="Normal"/>
    <w:qFormat/>
    <w:rsid w:val="00033A96"/>
    <w:pPr>
      <w:numPr>
        <w:ilvl w:val="5"/>
        <w:numId w:val="2"/>
      </w:numPr>
    </w:pPr>
  </w:style>
  <w:style w:type="paragraph" w:customStyle="1" w:styleId="Heading7-Numbered">
    <w:name w:val="Heading 7 - Numbered"/>
    <w:basedOn w:val="Heading7"/>
    <w:next w:val="Normal"/>
    <w:qFormat/>
    <w:rsid w:val="00033A96"/>
    <w:pPr>
      <w:numPr>
        <w:ilvl w:val="6"/>
        <w:numId w:val="2"/>
      </w:numPr>
    </w:pPr>
  </w:style>
  <w:style w:type="paragraph" w:customStyle="1" w:styleId="Heading8-Numbered">
    <w:name w:val="Heading 8 - Numbered"/>
    <w:basedOn w:val="Heading8"/>
    <w:next w:val="Normal"/>
    <w:qFormat/>
    <w:rsid w:val="00033A96"/>
    <w:pPr>
      <w:numPr>
        <w:ilvl w:val="7"/>
        <w:numId w:val="2"/>
      </w:numPr>
    </w:pPr>
  </w:style>
  <w:style w:type="paragraph" w:customStyle="1" w:styleId="Heading9-Numbered">
    <w:name w:val="Heading 9 - Numbered"/>
    <w:basedOn w:val="Heading9"/>
    <w:next w:val="Normal"/>
    <w:qFormat/>
    <w:rsid w:val="00033A96"/>
    <w:pPr>
      <w:numPr>
        <w:ilvl w:val="8"/>
        <w:numId w:val="2"/>
      </w:numPr>
    </w:pPr>
  </w:style>
  <w:style w:type="paragraph" w:customStyle="1" w:styleId="Liststyle">
    <w:name w:val="List style"/>
    <w:basedOn w:val="ListParagraph"/>
    <w:link w:val="ListstyleChar"/>
    <w:qFormat/>
    <w:rsid w:val="00033A96"/>
    <w:pPr>
      <w:numPr>
        <w:numId w:val="3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33A96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33A96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styleId="ListParagraph">
    <w:name w:val="List Paragraph"/>
    <w:basedOn w:val="Normal"/>
    <w:uiPriority w:val="34"/>
    <w:qFormat/>
    <w:rsid w:val="00033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6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6D7"/>
    <w:rPr>
      <w:vertAlign w:val="superscript"/>
    </w:rPr>
  </w:style>
  <w:style w:type="character" w:customStyle="1" w:styleId="DLMHeaderandFooter">
    <w:name w:val="DLM Header and Footer"/>
    <w:basedOn w:val="DefaultParagraphFont"/>
    <w:uiPriority w:val="1"/>
    <w:qFormat/>
    <w:rsid w:val="0085005D"/>
    <w:rPr>
      <w:rFonts w:ascii="Arial" w:hAnsi="Arial"/>
      <w:b/>
      <w:color w:val="FF0000"/>
      <w:spacing w:val="-4"/>
      <w:sz w:val="40"/>
    </w:rPr>
  </w:style>
  <w:style w:type="paragraph" w:customStyle="1" w:styleId="Char">
    <w:name w:val="Char"/>
    <w:basedOn w:val="Normal"/>
    <w:rsid w:val="00C72036"/>
    <w:pPr>
      <w:spacing w:after="160" w:line="240" w:lineRule="exact"/>
    </w:pPr>
    <w:rPr>
      <w:rFonts w:ascii="Verdana" w:eastAsia="Times" w:hAnsi="Verdana" w:cs="Times New Roman"/>
      <w:sz w:val="20"/>
      <w:szCs w:val="20"/>
      <w:lang w:val="en-US"/>
    </w:rPr>
  </w:style>
  <w:style w:type="paragraph" w:customStyle="1" w:styleId="AFMAstandardCharCharChar">
    <w:name w:val="AFMA standard Char Char Char"/>
    <w:link w:val="AFMAstandardCharCharCharChar"/>
    <w:rsid w:val="00C72036"/>
    <w:pPr>
      <w:tabs>
        <w:tab w:val="left" w:pos="284"/>
        <w:tab w:val="left" w:pos="567"/>
        <w:tab w:val="left" w:pos="851"/>
      </w:tabs>
      <w:spacing w:after="120" w:line="240" w:lineRule="auto"/>
      <w:jc w:val="both"/>
    </w:pPr>
    <w:rPr>
      <w:rFonts w:ascii="Arial" w:eastAsia="Times" w:hAnsi="Arial" w:cs="Times New Roman"/>
      <w:szCs w:val="20"/>
    </w:rPr>
  </w:style>
  <w:style w:type="character" w:customStyle="1" w:styleId="AFMAstandardCharCharCharChar">
    <w:name w:val="AFMA standard Char Char Char Char"/>
    <w:link w:val="AFMAstandardCharCharChar"/>
    <w:rsid w:val="00C72036"/>
    <w:rPr>
      <w:rFonts w:ascii="Arial" w:eastAsia="Times" w:hAnsi="Arial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6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0">
    <w:name w:val="Char"/>
    <w:basedOn w:val="Normal"/>
    <w:rsid w:val="00883D82"/>
    <w:pPr>
      <w:spacing w:after="160" w:line="240" w:lineRule="exact"/>
    </w:pPr>
    <w:rPr>
      <w:rFonts w:ascii="Verdana" w:eastAsia="Times" w:hAnsi="Verdan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9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89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089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ma.gov.au" TargetMode="External"/><Relationship Id="rId1" Type="http://schemas.openxmlformats.org/officeDocument/2006/relationships/hyperlink" Target="http://www.afm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O_COMMITTEES\TRLRAG_EO\Meetings\TRL_RAG_14_26-27%20August%202015\Meeting%20Record\20150831%20-%20TRLRAG%2014%20Meeting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CAB0-FD74-45EB-A0DF-8C6E7949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20150831 - TRLRAG 14 Meeting Record</Template>
  <TotalTime>13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5</cp:revision>
  <cp:lastPrinted>2016-03-24T01:03:00Z</cp:lastPrinted>
  <dcterms:created xsi:type="dcterms:W3CDTF">2016-03-24T02:13:00Z</dcterms:created>
  <dcterms:modified xsi:type="dcterms:W3CDTF">2016-03-24T05:59:00Z</dcterms:modified>
</cp:coreProperties>
</file>