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82" w:rsidRDefault="00763382" w:rsidP="00763382">
      <w:pPr>
        <w:pStyle w:val="Heading1"/>
      </w:pPr>
      <w:bookmarkStart w:id="0" w:name="_Ref428798513"/>
      <w:r>
        <w:t>Torres Strait Tropical Rock Lobster Resource Assessment Group</w:t>
      </w:r>
      <w:bookmarkEnd w:id="0"/>
      <w:r w:rsidR="000504BD">
        <w:t xml:space="preserve"> and Working Group</w:t>
      </w:r>
    </w:p>
    <w:p w:rsidR="00763382" w:rsidRDefault="00763382" w:rsidP="00763382">
      <w:pPr>
        <w:pStyle w:val="Subtitle"/>
      </w:pPr>
      <w:r>
        <w:t>Meeting Record</w:t>
      </w:r>
    </w:p>
    <w:p w:rsidR="00033A96" w:rsidRPr="00BF61D2" w:rsidRDefault="004E5AD9" w:rsidP="00033A96">
      <w:pPr>
        <w:pStyle w:val="Subtitle"/>
      </w:pPr>
      <w:r>
        <w:t>14 December</w:t>
      </w:r>
      <w:r w:rsidR="00281712">
        <w:t xml:space="preserve"> 2015</w:t>
      </w:r>
      <w:r w:rsidR="00033A96" w:rsidRPr="00BF61D2">
        <w:t xml:space="preserve"> </w:t>
      </w:r>
    </w:p>
    <w:p w:rsidR="00033A96" w:rsidRDefault="004E5AD9" w:rsidP="00281712">
      <w:pPr>
        <w:pStyle w:val="Subtitle"/>
      </w:pPr>
      <w:r>
        <w:t>Teleconference</w:t>
      </w:r>
    </w:p>
    <w:p w:rsidR="00033A96" w:rsidRDefault="00033A96" w:rsidP="00033A96"/>
    <w:p w:rsidR="000E737E" w:rsidRDefault="000E737E" w:rsidP="000E737E">
      <w:pPr>
        <w:rPr>
          <w:color w:val="FFFFFF" w:themeColor="background1"/>
        </w:rPr>
      </w:pPr>
      <w:r w:rsidRPr="00EB4786">
        <w:rPr>
          <w:color w:val="FFFFFF" w:themeColor="background1"/>
        </w:rPr>
        <w:t>Note all meeting papers and record available on the AFMA and PZJA webpages</w:t>
      </w:r>
      <w:r>
        <w:rPr>
          <w:color w:val="FFFFFF" w:themeColor="background1"/>
        </w:rPr>
        <w:t>:</w:t>
      </w:r>
    </w:p>
    <w:p w:rsidR="000E737E" w:rsidRDefault="000E737E" w:rsidP="000E737E">
      <w:pPr>
        <w:rPr>
          <w:color w:val="FFFFFF" w:themeColor="background1"/>
        </w:rPr>
      </w:pPr>
      <w:r>
        <w:rPr>
          <w:color w:val="FFFFFF" w:themeColor="background1"/>
        </w:rPr>
        <w:t xml:space="preserve">www.afma.gov.au </w:t>
      </w:r>
    </w:p>
    <w:p w:rsidR="000E737E" w:rsidRDefault="000E737E" w:rsidP="000E737E">
      <w:pPr>
        <w:rPr>
          <w:color w:val="FFFFFF" w:themeColor="background1"/>
        </w:rPr>
      </w:pPr>
      <w:r>
        <w:rPr>
          <w:color w:val="FFFFFF" w:themeColor="background1"/>
        </w:rPr>
        <w:t>www.pzja.gov.au</w:t>
      </w:r>
    </w:p>
    <w:p w:rsidR="00033A96" w:rsidRDefault="00033A96" w:rsidP="00033A96"/>
    <w:p w:rsidR="00033A96" w:rsidRDefault="00033A96" w:rsidP="00033A96">
      <w:pPr>
        <w:tabs>
          <w:tab w:val="left" w:pos="1609"/>
        </w:tabs>
      </w:pPr>
      <w:r>
        <w:tab/>
      </w:r>
      <w:r>
        <w:rPr>
          <w:noProof/>
          <w:lang w:eastAsia="en-AU"/>
        </w:rPr>
        <w:drawing>
          <wp:inline distT="0" distB="0" distL="0" distR="0" wp14:anchorId="1638A87E" wp14:editId="16A4B05C">
            <wp:extent cx="3329305" cy="570865"/>
            <wp:effectExtent l="0" t="0" r="0"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AFMA_inlinestrip_WHITE.png"/>
                    <pic:cNvPicPr/>
                  </pic:nvPicPr>
                  <pic:blipFill>
                    <a:blip r:embed="rId9">
                      <a:extLst>
                        <a:ext uri="{28A0092B-C50C-407E-A947-70E740481C1C}">
                          <a14:useLocalDpi xmlns:a14="http://schemas.microsoft.com/office/drawing/2010/main" val="0"/>
                        </a:ext>
                      </a:extLst>
                    </a:blip>
                    <a:stretch>
                      <a:fillRect/>
                    </a:stretch>
                  </pic:blipFill>
                  <pic:spPr>
                    <a:xfrm>
                      <a:off x="0" y="0"/>
                      <a:ext cx="3329305" cy="570865"/>
                    </a:xfrm>
                    <a:prstGeom prst="rect">
                      <a:avLst/>
                    </a:prstGeom>
                  </pic:spPr>
                </pic:pic>
              </a:graphicData>
            </a:graphic>
          </wp:inline>
        </w:drawing>
      </w:r>
    </w:p>
    <w:p w:rsidR="00033A96" w:rsidRDefault="00033A96" w:rsidP="00033A96"/>
    <w:p w:rsidR="00281712" w:rsidRDefault="00281712" w:rsidP="00033A96"/>
    <w:p w:rsidR="00281712" w:rsidRDefault="00281712" w:rsidP="00033A96"/>
    <w:p w:rsidR="00281712" w:rsidRDefault="00281712" w:rsidP="00033A96">
      <w:pPr>
        <w:sectPr w:rsidR="00281712" w:rsidSect="000E737E">
          <w:headerReference w:type="even" r:id="rId10"/>
          <w:headerReference w:type="default" r:id="rId11"/>
          <w:footerReference w:type="even" r:id="rId12"/>
          <w:footerReference w:type="default" r:id="rId13"/>
          <w:headerReference w:type="first" r:id="rId14"/>
          <w:footerReference w:type="first" r:id="rId15"/>
          <w:pgSz w:w="11906" w:h="16838" w:code="9"/>
          <w:pgMar w:top="2977" w:right="5103" w:bottom="5103" w:left="1560" w:header="340" w:footer="624" w:gutter="0"/>
          <w:cols w:space="708"/>
          <w:docGrid w:linePitch="360"/>
        </w:sectPr>
      </w:pPr>
    </w:p>
    <w:sdt>
      <w:sdtPr>
        <w:rPr>
          <w:rFonts w:asciiTheme="minorHAnsi" w:eastAsiaTheme="minorHAnsi" w:hAnsiTheme="minorHAnsi" w:cstheme="minorBidi"/>
          <w:b w:val="0"/>
          <w:color w:val="auto"/>
          <w:spacing w:val="0"/>
          <w:sz w:val="24"/>
          <w:szCs w:val="22"/>
          <w:lang w:val="en-AU"/>
        </w:rPr>
        <w:id w:val="1856917536"/>
        <w:docPartObj>
          <w:docPartGallery w:val="Table of Contents"/>
          <w:docPartUnique/>
        </w:docPartObj>
      </w:sdtPr>
      <w:sdtEndPr>
        <w:rPr>
          <w:rFonts w:ascii="Arial" w:hAnsi="Arial"/>
          <w:color w:val="333333"/>
          <w:spacing w:val="-4"/>
        </w:rPr>
      </w:sdtEndPr>
      <w:sdtContent>
        <w:p w:rsidR="00033A96" w:rsidRPr="00CD5B36" w:rsidRDefault="00033A96" w:rsidP="00CD5B36">
          <w:pPr>
            <w:pStyle w:val="TOCHeading"/>
            <w:ind w:left="-142"/>
            <w:rPr>
              <w:sz w:val="32"/>
            </w:rPr>
          </w:pPr>
          <w:r w:rsidRPr="00B56F1E">
            <w:rPr>
              <w:sz w:val="32"/>
            </w:rPr>
            <w:t>Contents</w:t>
          </w:r>
        </w:p>
        <w:p w:rsidR="00063747" w:rsidRDefault="00033A96">
          <w:pPr>
            <w:pStyle w:val="TOC1"/>
            <w:tabs>
              <w:tab w:val="right" w:leader="dot" w:pos="9628"/>
            </w:tabs>
            <w:rPr>
              <w:rFonts w:asciiTheme="minorHAnsi" w:eastAsiaTheme="minorEastAsia" w:hAnsiTheme="minorHAnsi"/>
              <w:noProof/>
              <w:color w:val="auto"/>
              <w:spacing w:val="0"/>
              <w:sz w:val="22"/>
              <w:lang w:eastAsia="en-AU"/>
            </w:rPr>
          </w:pPr>
          <w:r w:rsidRPr="008A70E1">
            <w:rPr>
              <w:rFonts w:asciiTheme="minorHAnsi" w:hAnsiTheme="minorHAnsi" w:cstheme="minorHAnsi"/>
              <w:color w:val="auto"/>
              <w:szCs w:val="24"/>
            </w:rPr>
            <w:fldChar w:fldCharType="begin"/>
          </w:r>
          <w:r w:rsidRPr="008A70E1">
            <w:rPr>
              <w:rFonts w:asciiTheme="minorHAnsi" w:hAnsiTheme="minorHAnsi" w:cstheme="minorHAnsi"/>
              <w:color w:val="auto"/>
              <w:szCs w:val="24"/>
            </w:rPr>
            <w:instrText xml:space="preserve"> TOC \h \z \t "Heading 2,1,Heading 3,2,Heading 4,3,Title,1,Heading 2 - Numbered,1,Heading 3  - Numbered,2,Heading 4 - Numbered,3" </w:instrText>
          </w:r>
          <w:r w:rsidRPr="008A70E1">
            <w:rPr>
              <w:rFonts w:asciiTheme="minorHAnsi" w:hAnsiTheme="minorHAnsi" w:cstheme="minorHAnsi"/>
              <w:color w:val="auto"/>
              <w:szCs w:val="24"/>
            </w:rPr>
            <w:fldChar w:fldCharType="separate"/>
          </w:r>
          <w:hyperlink w:anchor="_Toc438542134" w:history="1">
            <w:r w:rsidR="00063747" w:rsidRPr="00884E6A">
              <w:rPr>
                <w:rStyle w:val="Hyperlink"/>
                <w:noProof/>
              </w:rPr>
              <w:t>Meeting Participants</w:t>
            </w:r>
            <w:r w:rsidR="00063747">
              <w:rPr>
                <w:noProof/>
                <w:webHidden/>
              </w:rPr>
              <w:tab/>
            </w:r>
            <w:r w:rsidR="00063747">
              <w:rPr>
                <w:noProof/>
                <w:webHidden/>
              </w:rPr>
              <w:fldChar w:fldCharType="begin"/>
            </w:r>
            <w:r w:rsidR="00063747">
              <w:rPr>
                <w:noProof/>
                <w:webHidden/>
              </w:rPr>
              <w:instrText xml:space="preserve"> PAGEREF _Toc438542134 \h </w:instrText>
            </w:r>
            <w:r w:rsidR="00063747">
              <w:rPr>
                <w:noProof/>
                <w:webHidden/>
              </w:rPr>
            </w:r>
            <w:r w:rsidR="00063747">
              <w:rPr>
                <w:noProof/>
                <w:webHidden/>
              </w:rPr>
              <w:fldChar w:fldCharType="separate"/>
            </w:r>
            <w:r w:rsidR="003C06CA">
              <w:rPr>
                <w:noProof/>
                <w:webHidden/>
              </w:rPr>
              <w:t>3</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35" w:history="1">
            <w:r w:rsidR="00063747" w:rsidRPr="00884E6A">
              <w:rPr>
                <w:rStyle w:val="Hyperlink"/>
                <w:noProof/>
              </w:rPr>
              <w:t>Action Items</w:t>
            </w:r>
            <w:r w:rsidR="00063747">
              <w:rPr>
                <w:noProof/>
                <w:webHidden/>
              </w:rPr>
              <w:tab/>
            </w:r>
            <w:r w:rsidR="00063747">
              <w:rPr>
                <w:noProof/>
                <w:webHidden/>
              </w:rPr>
              <w:fldChar w:fldCharType="begin"/>
            </w:r>
            <w:r w:rsidR="00063747">
              <w:rPr>
                <w:noProof/>
                <w:webHidden/>
              </w:rPr>
              <w:instrText xml:space="preserve"> PAGEREF _Toc438542135 \h </w:instrText>
            </w:r>
            <w:r w:rsidR="00063747">
              <w:rPr>
                <w:noProof/>
                <w:webHidden/>
              </w:rPr>
            </w:r>
            <w:r w:rsidR="00063747">
              <w:rPr>
                <w:noProof/>
                <w:webHidden/>
              </w:rPr>
              <w:fldChar w:fldCharType="separate"/>
            </w:r>
            <w:r>
              <w:rPr>
                <w:noProof/>
                <w:webHidden/>
              </w:rPr>
              <w:t>4</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36" w:history="1">
            <w:r w:rsidR="00063747" w:rsidRPr="00884E6A">
              <w:rPr>
                <w:rStyle w:val="Hyperlink"/>
                <w:noProof/>
              </w:rPr>
              <w:t>Agenda Item 1 - Preliminaries</w:t>
            </w:r>
            <w:r w:rsidR="00063747">
              <w:rPr>
                <w:noProof/>
                <w:webHidden/>
              </w:rPr>
              <w:tab/>
            </w:r>
            <w:r w:rsidR="00063747">
              <w:rPr>
                <w:noProof/>
                <w:webHidden/>
              </w:rPr>
              <w:fldChar w:fldCharType="begin"/>
            </w:r>
            <w:r w:rsidR="00063747">
              <w:rPr>
                <w:noProof/>
                <w:webHidden/>
              </w:rPr>
              <w:instrText xml:space="preserve"> PAGEREF _Toc438542136 \h </w:instrText>
            </w:r>
            <w:r w:rsidR="00063747">
              <w:rPr>
                <w:noProof/>
                <w:webHidden/>
              </w:rPr>
            </w:r>
            <w:r w:rsidR="00063747">
              <w:rPr>
                <w:noProof/>
                <w:webHidden/>
              </w:rPr>
              <w:fldChar w:fldCharType="separate"/>
            </w:r>
            <w:r>
              <w:rPr>
                <w:noProof/>
                <w:webHidden/>
              </w:rPr>
              <w:t>4</w:t>
            </w:r>
            <w:r w:rsidR="00063747">
              <w:rPr>
                <w:noProof/>
                <w:webHidden/>
              </w:rPr>
              <w:fldChar w:fldCharType="end"/>
            </w:r>
          </w:hyperlink>
        </w:p>
        <w:p w:rsidR="00063747" w:rsidRDefault="003C06CA">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38542137" w:history="1">
            <w:r w:rsidR="00063747" w:rsidRPr="00884E6A">
              <w:rPr>
                <w:rStyle w:val="Hyperlink"/>
                <w:noProof/>
              </w:rPr>
              <w:t>1.1</w:t>
            </w:r>
            <w:r w:rsidR="00063747">
              <w:rPr>
                <w:rFonts w:asciiTheme="minorHAnsi" w:eastAsiaTheme="minorEastAsia" w:hAnsiTheme="minorHAnsi"/>
                <w:noProof/>
                <w:color w:val="auto"/>
                <w:spacing w:val="0"/>
                <w:sz w:val="22"/>
                <w:lang w:eastAsia="en-AU"/>
              </w:rPr>
              <w:tab/>
            </w:r>
            <w:r w:rsidR="00063747" w:rsidRPr="00884E6A">
              <w:rPr>
                <w:rStyle w:val="Hyperlink"/>
                <w:noProof/>
              </w:rPr>
              <w:t>Apologies / declaration of interest / Adoption of Agenda</w:t>
            </w:r>
            <w:r w:rsidR="00063747">
              <w:rPr>
                <w:noProof/>
                <w:webHidden/>
              </w:rPr>
              <w:tab/>
            </w:r>
            <w:r w:rsidR="00063747">
              <w:rPr>
                <w:noProof/>
                <w:webHidden/>
              </w:rPr>
              <w:fldChar w:fldCharType="begin"/>
            </w:r>
            <w:r w:rsidR="00063747">
              <w:rPr>
                <w:noProof/>
                <w:webHidden/>
              </w:rPr>
              <w:instrText xml:space="preserve"> PAGEREF _Toc438542137 \h </w:instrText>
            </w:r>
            <w:r w:rsidR="00063747">
              <w:rPr>
                <w:noProof/>
                <w:webHidden/>
              </w:rPr>
            </w:r>
            <w:r w:rsidR="00063747">
              <w:rPr>
                <w:noProof/>
                <w:webHidden/>
              </w:rPr>
              <w:fldChar w:fldCharType="separate"/>
            </w:r>
            <w:r>
              <w:rPr>
                <w:noProof/>
                <w:webHidden/>
              </w:rPr>
              <w:t>4</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38" w:history="1">
            <w:r w:rsidR="00063747" w:rsidRPr="00884E6A">
              <w:rPr>
                <w:rStyle w:val="Hyperlink"/>
                <w:noProof/>
              </w:rPr>
              <w:t>Agenda Item 1 – Catch and effort statistics and standardised CPUE indices, 2015</w:t>
            </w:r>
            <w:r w:rsidR="00063747">
              <w:rPr>
                <w:noProof/>
                <w:webHidden/>
              </w:rPr>
              <w:tab/>
            </w:r>
            <w:r w:rsidR="00063747">
              <w:rPr>
                <w:noProof/>
                <w:webHidden/>
              </w:rPr>
              <w:fldChar w:fldCharType="begin"/>
            </w:r>
            <w:r w:rsidR="00063747">
              <w:rPr>
                <w:noProof/>
                <w:webHidden/>
              </w:rPr>
              <w:instrText xml:space="preserve"> PAGEREF _Toc438542138 \h </w:instrText>
            </w:r>
            <w:r w:rsidR="00063747">
              <w:rPr>
                <w:noProof/>
                <w:webHidden/>
              </w:rPr>
            </w:r>
            <w:r w:rsidR="00063747">
              <w:rPr>
                <w:noProof/>
                <w:webHidden/>
              </w:rPr>
              <w:fldChar w:fldCharType="separate"/>
            </w:r>
            <w:r>
              <w:rPr>
                <w:noProof/>
                <w:webHidden/>
              </w:rPr>
              <w:t>4</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39" w:history="1">
            <w:r w:rsidR="00063747" w:rsidRPr="00884E6A">
              <w:rPr>
                <w:rStyle w:val="Hyperlink"/>
                <w:noProof/>
              </w:rPr>
              <w:t>Agenda Item 2 – Pre-season population survey update, 2015</w:t>
            </w:r>
            <w:r w:rsidR="00063747">
              <w:rPr>
                <w:noProof/>
                <w:webHidden/>
              </w:rPr>
              <w:tab/>
            </w:r>
            <w:r w:rsidR="00063747">
              <w:rPr>
                <w:noProof/>
                <w:webHidden/>
              </w:rPr>
              <w:fldChar w:fldCharType="begin"/>
            </w:r>
            <w:r w:rsidR="00063747">
              <w:rPr>
                <w:noProof/>
                <w:webHidden/>
              </w:rPr>
              <w:instrText xml:space="preserve"> PAGEREF _Toc438542139 \h </w:instrText>
            </w:r>
            <w:r w:rsidR="00063747">
              <w:rPr>
                <w:noProof/>
                <w:webHidden/>
              </w:rPr>
            </w:r>
            <w:r w:rsidR="00063747">
              <w:rPr>
                <w:noProof/>
                <w:webHidden/>
              </w:rPr>
              <w:fldChar w:fldCharType="separate"/>
            </w:r>
            <w:r>
              <w:rPr>
                <w:noProof/>
                <w:webHidden/>
              </w:rPr>
              <w:t>5</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40" w:history="1">
            <w:r w:rsidR="00063747" w:rsidRPr="00884E6A">
              <w:rPr>
                <w:rStyle w:val="Hyperlink"/>
                <w:noProof/>
              </w:rPr>
              <w:t>Agenda Item 3 – Catch comparison with TAC, 2015</w:t>
            </w:r>
            <w:r w:rsidR="00063747">
              <w:rPr>
                <w:noProof/>
                <w:webHidden/>
              </w:rPr>
              <w:tab/>
            </w:r>
            <w:r w:rsidR="00063747">
              <w:rPr>
                <w:noProof/>
                <w:webHidden/>
              </w:rPr>
              <w:fldChar w:fldCharType="begin"/>
            </w:r>
            <w:r w:rsidR="00063747">
              <w:rPr>
                <w:noProof/>
                <w:webHidden/>
              </w:rPr>
              <w:instrText xml:space="preserve"> PAGEREF _Toc438542140 \h </w:instrText>
            </w:r>
            <w:r w:rsidR="00063747">
              <w:rPr>
                <w:noProof/>
                <w:webHidden/>
              </w:rPr>
            </w:r>
            <w:r w:rsidR="00063747">
              <w:rPr>
                <w:noProof/>
                <w:webHidden/>
              </w:rPr>
              <w:fldChar w:fldCharType="separate"/>
            </w:r>
            <w:r>
              <w:rPr>
                <w:noProof/>
                <w:webHidden/>
              </w:rPr>
              <w:t>6</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41" w:history="1">
            <w:r w:rsidR="00063747" w:rsidRPr="00884E6A">
              <w:rPr>
                <w:rStyle w:val="Hyperlink"/>
                <w:rFonts w:cs="Arial"/>
                <w:noProof/>
              </w:rPr>
              <w:t>Agenda Item 4 – Recommended Biological Catch and TAC for 2015/16 fishing season</w:t>
            </w:r>
            <w:r w:rsidR="00063747">
              <w:rPr>
                <w:noProof/>
                <w:webHidden/>
              </w:rPr>
              <w:tab/>
            </w:r>
            <w:r w:rsidR="00063747">
              <w:rPr>
                <w:noProof/>
                <w:webHidden/>
              </w:rPr>
              <w:fldChar w:fldCharType="begin"/>
            </w:r>
            <w:r w:rsidR="00063747">
              <w:rPr>
                <w:noProof/>
                <w:webHidden/>
              </w:rPr>
              <w:instrText xml:space="preserve"> PAGEREF _Toc438542141 \h </w:instrText>
            </w:r>
            <w:r w:rsidR="00063747">
              <w:rPr>
                <w:noProof/>
                <w:webHidden/>
              </w:rPr>
            </w:r>
            <w:r w:rsidR="00063747">
              <w:rPr>
                <w:noProof/>
                <w:webHidden/>
              </w:rPr>
              <w:fldChar w:fldCharType="separate"/>
            </w:r>
            <w:r>
              <w:rPr>
                <w:noProof/>
                <w:webHidden/>
              </w:rPr>
              <w:t>7</w:t>
            </w:r>
            <w:r w:rsidR="00063747">
              <w:rPr>
                <w:noProof/>
                <w:webHidden/>
              </w:rPr>
              <w:fldChar w:fldCharType="end"/>
            </w:r>
          </w:hyperlink>
        </w:p>
        <w:p w:rsidR="00063747" w:rsidRDefault="003C06CA">
          <w:pPr>
            <w:pStyle w:val="TOC1"/>
            <w:tabs>
              <w:tab w:val="right" w:leader="dot" w:pos="9628"/>
            </w:tabs>
            <w:rPr>
              <w:rFonts w:asciiTheme="minorHAnsi" w:eastAsiaTheme="minorEastAsia" w:hAnsiTheme="minorHAnsi"/>
              <w:noProof/>
              <w:color w:val="auto"/>
              <w:spacing w:val="0"/>
              <w:sz w:val="22"/>
              <w:lang w:eastAsia="en-AU"/>
            </w:rPr>
          </w:pPr>
          <w:hyperlink w:anchor="_Toc438542142" w:history="1">
            <w:r w:rsidR="00063747" w:rsidRPr="00884E6A">
              <w:rPr>
                <w:rStyle w:val="Hyperlink"/>
                <w:noProof/>
              </w:rPr>
              <w:t>Other Business</w:t>
            </w:r>
            <w:r w:rsidR="00063747">
              <w:rPr>
                <w:noProof/>
                <w:webHidden/>
              </w:rPr>
              <w:tab/>
            </w:r>
            <w:r w:rsidR="00063747">
              <w:rPr>
                <w:noProof/>
                <w:webHidden/>
              </w:rPr>
              <w:fldChar w:fldCharType="begin"/>
            </w:r>
            <w:r w:rsidR="00063747">
              <w:rPr>
                <w:noProof/>
                <w:webHidden/>
              </w:rPr>
              <w:instrText xml:space="preserve"> PAGEREF _Toc438542142 \h </w:instrText>
            </w:r>
            <w:r w:rsidR="00063747">
              <w:rPr>
                <w:noProof/>
                <w:webHidden/>
              </w:rPr>
            </w:r>
            <w:r w:rsidR="00063747">
              <w:rPr>
                <w:noProof/>
                <w:webHidden/>
              </w:rPr>
              <w:fldChar w:fldCharType="separate"/>
            </w:r>
            <w:r>
              <w:rPr>
                <w:noProof/>
                <w:webHidden/>
              </w:rPr>
              <w:t>8</w:t>
            </w:r>
            <w:r w:rsidR="00063747">
              <w:rPr>
                <w:noProof/>
                <w:webHidden/>
              </w:rPr>
              <w:fldChar w:fldCharType="end"/>
            </w:r>
          </w:hyperlink>
        </w:p>
        <w:p w:rsidR="00033A96" w:rsidRPr="003D5B53" w:rsidRDefault="00033A96" w:rsidP="00426BFC">
          <w:pPr>
            <w:pStyle w:val="TOC1"/>
            <w:tabs>
              <w:tab w:val="right" w:leader="dot" w:pos="10054"/>
            </w:tabs>
          </w:pPr>
          <w:r w:rsidRPr="008A70E1">
            <w:fldChar w:fldCharType="end"/>
          </w:r>
        </w:p>
      </w:sdtContent>
    </w:sdt>
    <w:p w:rsidR="00063747" w:rsidRDefault="00063747">
      <w:pPr>
        <w:spacing w:before="0" w:after="200"/>
        <w:rPr>
          <w:rFonts w:eastAsiaTheme="majorEastAsia" w:cstheme="majorHAnsi"/>
          <w:b/>
          <w:bCs/>
          <w:color w:val="093E52"/>
          <w:spacing w:val="-4"/>
          <w:sz w:val="34"/>
          <w:szCs w:val="32"/>
        </w:rPr>
      </w:pPr>
      <w:bookmarkStart w:id="1" w:name="_Toc438542134"/>
      <w:r>
        <w:br w:type="page"/>
      </w:r>
    </w:p>
    <w:p w:rsidR="00281712" w:rsidRDefault="00281712" w:rsidP="00281712">
      <w:pPr>
        <w:pStyle w:val="Heading2"/>
      </w:pPr>
      <w:r>
        <w:lastRenderedPageBreak/>
        <w:t>Meeting Participants</w:t>
      </w:r>
      <w:bookmarkEnd w:id="1"/>
    </w:p>
    <w:p w:rsidR="005C1F14" w:rsidRPr="00306953" w:rsidRDefault="005C1F14" w:rsidP="00281712"/>
    <w:tbl>
      <w:tblPr>
        <w:tblStyle w:val="AFMA-default"/>
        <w:tblpPr w:leftFromText="180" w:rightFromText="180" w:vertAnchor="page" w:horzAnchor="margin" w:tblpY="2264"/>
        <w:tblW w:w="5000" w:type="pct"/>
        <w:tblLook w:val="04A0" w:firstRow="1" w:lastRow="0" w:firstColumn="1" w:lastColumn="0" w:noHBand="0" w:noVBand="1"/>
      </w:tblPr>
      <w:tblGrid>
        <w:gridCol w:w="3605"/>
        <w:gridCol w:w="6249"/>
      </w:tblGrid>
      <w:tr w:rsidR="00063747" w:rsidTr="00063747">
        <w:trPr>
          <w:cnfStyle w:val="100000000000" w:firstRow="1" w:lastRow="0" w:firstColumn="0" w:lastColumn="0" w:oddVBand="0" w:evenVBand="0" w:oddHBand="0" w:evenHBand="0" w:firstRowFirstColumn="0" w:firstRowLastColumn="0" w:lastRowFirstColumn="0" w:lastRowLastColumn="0"/>
        </w:trPr>
        <w:tc>
          <w:tcPr>
            <w:tcW w:w="1829" w:type="pct"/>
          </w:tcPr>
          <w:p w:rsidR="00063747" w:rsidRPr="005C1F14" w:rsidRDefault="00063747" w:rsidP="00063747">
            <w:pPr>
              <w:rPr>
                <w:b/>
              </w:rPr>
            </w:pPr>
            <w:r>
              <w:rPr>
                <w:b/>
              </w:rPr>
              <w:t>Name</w:t>
            </w:r>
          </w:p>
        </w:tc>
        <w:tc>
          <w:tcPr>
            <w:tcW w:w="3171" w:type="pct"/>
          </w:tcPr>
          <w:p w:rsidR="00063747" w:rsidRPr="005C1F14" w:rsidRDefault="00063747" w:rsidP="00063747">
            <w:pPr>
              <w:rPr>
                <w:b/>
              </w:rPr>
            </w:pPr>
            <w:r>
              <w:rPr>
                <w:b/>
              </w:rPr>
              <w:t>Role</w:t>
            </w:r>
            <w:bookmarkStart w:id="2" w:name="_GoBack"/>
            <w:bookmarkEnd w:id="2"/>
          </w:p>
        </w:tc>
      </w:tr>
      <w:tr w:rsidR="00063747" w:rsidTr="00063747">
        <w:tc>
          <w:tcPr>
            <w:tcW w:w="5000" w:type="pct"/>
            <w:gridSpan w:val="2"/>
          </w:tcPr>
          <w:p w:rsidR="00063747" w:rsidRPr="00063747" w:rsidRDefault="00063747" w:rsidP="00063747">
            <w:pPr>
              <w:rPr>
                <w:b/>
              </w:rPr>
            </w:pPr>
            <w:r w:rsidRPr="00063747">
              <w:rPr>
                <w:b/>
              </w:rPr>
              <w:t>MEMBERS</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 xml:space="preserve">Ian Knuckey </w:t>
            </w:r>
          </w:p>
        </w:tc>
        <w:tc>
          <w:tcPr>
            <w:tcW w:w="3171" w:type="pct"/>
          </w:tcPr>
          <w:p w:rsidR="00063747" w:rsidRPr="005C1F14" w:rsidRDefault="00063747" w:rsidP="00063747">
            <w:r>
              <w:t>Chair of combined meeting</w:t>
            </w:r>
          </w:p>
        </w:tc>
      </w:tr>
      <w:tr w:rsidR="00063747" w:rsidTr="00063747">
        <w:tc>
          <w:tcPr>
            <w:tcW w:w="1829" w:type="pct"/>
          </w:tcPr>
          <w:p w:rsidR="00063747" w:rsidRDefault="00063747" w:rsidP="00063747">
            <w:r>
              <w:t>John Pollock</w:t>
            </w:r>
          </w:p>
        </w:tc>
        <w:tc>
          <w:tcPr>
            <w:tcW w:w="3171" w:type="pct"/>
          </w:tcPr>
          <w:p w:rsidR="00063747" w:rsidRDefault="00063747" w:rsidP="00063747">
            <w:r>
              <w:t>Chair of TRLRAG</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 xml:space="preserve">Selina Stoute </w:t>
            </w:r>
          </w:p>
        </w:tc>
        <w:tc>
          <w:tcPr>
            <w:tcW w:w="3171" w:type="pct"/>
          </w:tcPr>
          <w:p w:rsidR="00063747" w:rsidRDefault="00063747" w:rsidP="00063747">
            <w:r>
              <w:t>AFMA Member</w:t>
            </w:r>
          </w:p>
        </w:tc>
      </w:tr>
      <w:tr w:rsidR="00063747" w:rsidTr="00063747">
        <w:tc>
          <w:tcPr>
            <w:tcW w:w="1829" w:type="pct"/>
          </w:tcPr>
          <w:p w:rsidR="00063747" w:rsidRDefault="00063747" w:rsidP="00063747">
            <w:r>
              <w:t>Dean Pease</w:t>
            </w:r>
          </w:p>
        </w:tc>
        <w:tc>
          <w:tcPr>
            <w:tcW w:w="3171" w:type="pct"/>
          </w:tcPr>
          <w:p w:rsidR="00063747" w:rsidRDefault="00063747" w:rsidP="00063747">
            <w:r>
              <w:t>AFMA, Executive Officer</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Brett Arlidge</w:t>
            </w:r>
          </w:p>
        </w:tc>
        <w:tc>
          <w:tcPr>
            <w:tcW w:w="3171" w:type="pct"/>
          </w:tcPr>
          <w:p w:rsidR="00063747" w:rsidRDefault="00063747" w:rsidP="00063747">
            <w:r>
              <w:t>Industry Member (TRLRAG)</w:t>
            </w:r>
          </w:p>
        </w:tc>
      </w:tr>
      <w:tr w:rsidR="00063747" w:rsidTr="00063747">
        <w:tc>
          <w:tcPr>
            <w:tcW w:w="1829" w:type="pct"/>
          </w:tcPr>
          <w:p w:rsidR="00063747" w:rsidRDefault="00063747" w:rsidP="00063747">
            <w:r>
              <w:t>Darren Dennis</w:t>
            </w:r>
          </w:p>
        </w:tc>
        <w:tc>
          <w:tcPr>
            <w:tcW w:w="3171" w:type="pct"/>
          </w:tcPr>
          <w:p w:rsidR="00063747" w:rsidRDefault="00063747" w:rsidP="00063747">
            <w:r>
              <w:t>CSIRO Scientific Member (TRLRAG, TRLWG)</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Eva Plaganyi</w:t>
            </w:r>
          </w:p>
        </w:tc>
        <w:tc>
          <w:tcPr>
            <w:tcW w:w="3171" w:type="pct"/>
          </w:tcPr>
          <w:p w:rsidR="00063747" w:rsidRDefault="00063747" w:rsidP="00063747">
            <w:r>
              <w:t>CSIRO Scientific Member (TRLRAG)</w:t>
            </w:r>
          </w:p>
        </w:tc>
      </w:tr>
      <w:tr w:rsidR="00063747" w:rsidTr="00063747">
        <w:tc>
          <w:tcPr>
            <w:tcW w:w="1829" w:type="pct"/>
          </w:tcPr>
          <w:p w:rsidR="00063747" w:rsidRDefault="00063747" w:rsidP="00063747">
            <w:r>
              <w:t>Nokome Bentley</w:t>
            </w:r>
          </w:p>
        </w:tc>
        <w:tc>
          <w:tcPr>
            <w:tcW w:w="3171" w:type="pct"/>
          </w:tcPr>
          <w:p w:rsidR="00063747" w:rsidRDefault="00063747" w:rsidP="00063747">
            <w:r>
              <w:t>Independent Scientific Member (TRLRAG)</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Tom Roberts</w:t>
            </w:r>
          </w:p>
        </w:tc>
        <w:tc>
          <w:tcPr>
            <w:tcW w:w="3171" w:type="pct"/>
          </w:tcPr>
          <w:p w:rsidR="00063747" w:rsidRDefault="00063747" w:rsidP="00063747">
            <w:r>
              <w:t>QDAF Member</w:t>
            </w:r>
          </w:p>
        </w:tc>
      </w:tr>
      <w:tr w:rsidR="00063747" w:rsidTr="00063747">
        <w:tc>
          <w:tcPr>
            <w:tcW w:w="1829" w:type="pct"/>
          </w:tcPr>
          <w:p w:rsidR="00063747" w:rsidRDefault="00063747" w:rsidP="00063747">
            <w:r>
              <w:t>Suzanne Stratton (in place of Mariana Nahas)</w:t>
            </w:r>
          </w:p>
        </w:tc>
        <w:tc>
          <w:tcPr>
            <w:tcW w:w="3171" w:type="pct"/>
          </w:tcPr>
          <w:p w:rsidR="00063747" w:rsidRDefault="00063747" w:rsidP="00063747">
            <w:r>
              <w:t>TSRA Member</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John Ramsay</w:t>
            </w:r>
          </w:p>
        </w:tc>
        <w:tc>
          <w:tcPr>
            <w:tcW w:w="3171" w:type="pct"/>
          </w:tcPr>
          <w:p w:rsidR="00063747" w:rsidRDefault="00063747" w:rsidP="00063747">
            <w:r>
              <w:t>TSRA Member</w:t>
            </w:r>
          </w:p>
        </w:tc>
      </w:tr>
      <w:tr w:rsidR="00063747" w:rsidTr="00063747">
        <w:tc>
          <w:tcPr>
            <w:tcW w:w="5000" w:type="pct"/>
            <w:gridSpan w:val="2"/>
          </w:tcPr>
          <w:p w:rsidR="00063747" w:rsidRDefault="00063747" w:rsidP="00063747">
            <w:r>
              <w:rPr>
                <w:b/>
              </w:rPr>
              <w:t>OBSERVERS</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Robert Campbell</w:t>
            </w:r>
          </w:p>
        </w:tc>
        <w:tc>
          <w:tcPr>
            <w:tcW w:w="3171" w:type="pct"/>
          </w:tcPr>
          <w:p w:rsidR="00063747" w:rsidRDefault="00063747" w:rsidP="00063747">
            <w:r>
              <w:t>CSIRO Scientific Observer</w:t>
            </w:r>
          </w:p>
        </w:tc>
      </w:tr>
      <w:tr w:rsidR="00063747" w:rsidTr="00063747">
        <w:tc>
          <w:tcPr>
            <w:tcW w:w="1829" w:type="pct"/>
          </w:tcPr>
          <w:p w:rsidR="00063747" w:rsidRDefault="00063747" w:rsidP="00063747">
            <w:r>
              <w:t>Roy Deng</w:t>
            </w:r>
          </w:p>
        </w:tc>
        <w:tc>
          <w:tcPr>
            <w:tcW w:w="3171" w:type="pct"/>
          </w:tcPr>
          <w:p w:rsidR="00063747" w:rsidRDefault="00063747" w:rsidP="00063747">
            <w:r>
              <w:t>CSIRO Scientific Observer</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Ray Moore</w:t>
            </w:r>
          </w:p>
        </w:tc>
        <w:tc>
          <w:tcPr>
            <w:tcW w:w="3171" w:type="pct"/>
          </w:tcPr>
          <w:p w:rsidR="00063747" w:rsidRDefault="00063747" w:rsidP="00063747">
            <w:r>
              <w:t>Industry Observer</w:t>
            </w:r>
          </w:p>
        </w:tc>
      </w:tr>
      <w:tr w:rsidR="00063747" w:rsidTr="00063747">
        <w:tc>
          <w:tcPr>
            <w:tcW w:w="1829" w:type="pct"/>
          </w:tcPr>
          <w:p w:rsidR="00063747" w:rsidRDefault="00063747" w:rsidP="00063747">
            <w:r>
              <w:t>Graham Hirakawa</w:t>
            </w:r>
          </w:p>
        </w:tc>
        <w:tc>
          <w:tcPr>
            <w:tcW w:w="3171" w:type="pct"/>
          </w:tcPr>
          <w:p w:rsidR="00063747" w:rsidRDefault="00063747" w:rsidP="00063747">
            <w:r>
              <w:t>Industry Observer</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Kevin Sabatino</w:t>
            </w:r>
          </w:p>
        </w:tc>
        <w:tc>
          <w:tcPr>
            <w:tcW w:w="3171" w:type="pct"/>
          </w:tcPr>
          <w:p w:rsidR="00063747" w:rsidRDefault="00063747" w:rsidP="00063747">
            <w:r>
              <w:t>Industry Observer</w:t>
            </w:r>
          </w:p>
        </w:tc>
      </w:tr>
      <w:tr w:rsidR="00063747" w:rsidTr="00063747">
        <w:tc>
          <w:tcPr>
            <w:tcW w:w="1829" w:type="pct"/>
          </w:tcPr>
          <w:p w:rsidR="00063747" w:rsidRDefault="00063747" w:rsidP="00063747">
            <w:r>
              <w:t>Basil Sabatino</w:t>
            </w:r>
          </w:p>
        </w:tc>
        <w:tc>
          <w:tcPr>
            <w:tcW w:w="3171" w:type="pct"/>
          </w:tcPr>
          <w:p w:rsidR="00063747" w:rsidRDefault="00063747" w:rsidP="00063747">
            <w:r>
              <w:t>Industry Observer</w:t>
            </w:r>
          </w:p>
        </w:tc>
      </w:tr>
      <w:tr w:rsidR="00063747" w:rsidTr="00063747">
        <w:trPr>
          <w:cnfStyle w:val="000000010000" w:firstRow="0" w:lastRow="0" w:firstColumn="0" w:lastColumn="0" w:oddVBand="0" w:evenVBand="0" w:oddHBand="0" w:evenHBand="1" w:firstRowFirstColumn="0" w:firstRowLastColumn="0" w:lastRowFirstColumn="0" w:lastRowLastColumn="0"/>
        </w:trPr>
        <w:tc>
          <w:tcPr>
            <w:tcW w:w="1829" w:type="pct"/>
          </w:tcPr>
          <w:p w:rsidR="00063747" w:rsidRDefault="00063747" w:rsidP="00063747">
            <w:r>
              <w:t>Joseph King</w:t>
            </w:r>
          </w:p>
        </w:tc>
        <w:tc>
          <w:tcPr>
            <w:tcW w:w="3171" w:type="pct"/>
          </w:tcPr>
          <w:p w:rsidR="00063747" w:rsidRDefault="00063747" w:rsidP="00063747">
            <w:r>
              <w:t>Industry Observer</w:t>
            </w:r>
          </w:p>
        </w:tc>
      </w:tr>
      <w:tr w:rsidR="00F16918" w:rsidTr="00063747">
        <w:tc>
          <w:tcPr>
            <w:tcW w:w="1829" w:type="pct"/>
          </w:tcPr>
          <w:p w:rsidR="00F16918" w:rsidRDefault="00F16918" w:rsidP="00063747">
            <w:r>
              <w:t>Trent Butcher</w:t>
            </w:r>
          </w:p>
        </w:tc>
        <w:tc>
          <w:tcPr>
            <w:tcW w:w="3171" w:type="pct"/>
          </w:tcPr>
          <w:p w:rsidR="00F16918" w:rsidRDefault="00F16918" w:rsidP="00F16918">
            <w:r>
              <w:t>Industry Observer</w:t>
            </w:r>
          </w:p>
        </w:tc>
      </w:tr>
    </w:tbl>
    <w:p w:rsidR="001F1ACD" w:rsidRDefault="001F1ACD" w:rsidP="00281712">
      <w:pPr>
        <w:rPr>
          <w:b/>
        </w:rPr>
      </w:pPr>
    </w:p>
    <w:p w:rsidR="00492D88" w:rsidRDefault="00492D88">
      <w:r>
        <w:br w:type="page"/>
      </w:r>
    </w:p>
    <w:p w:rsidR="00763382" w:rsidRDefault="002B2655" w:rsidP="00B56F1E">
      <w:pPr>
        <w:pStyle w:val="Heading2"/>
        <w:spacing w:before="0" w:after="0"/>
      </w:pPr>
      <w:bookmarkStart w:id="3" w:name="_Toc438542135"/>
      <w:r>
        <w:lastRenderedPageBreak/>
        <w:t>Action Items</w:t>
      </w:r>
      <w:bookmarkEnd w:id="3"/>
    </w:p>
    <w:p w:rsidR="00B56F1E" w:rsidRDefault="00B56F1E" w:rsidP="00B56F1E">
      <w:pPr>
        <w:spacing w:before="0" w:after="0"/>
        <w:rPr>
          <w:b/>
        </w:rPr>
      </w:pPr>
    </w:p>
    <w:p w:rsidR="00F12B7C" w:rsidRDefault="00F12B7C" w:rsidP="00B56F1E">
      <w:pPr>
        <w:spacing w:before="0" w:after="0"/>
      </w:pPr>
      <w:r>
        <w:rPr>
          <w:b/>
        </w:rPr>
        <w:t>Table1.</w:t>
      </w:r>
      <w:r w:rsidRPr="00F12B7C">
        <w:t xml:space="preserve"> Action items from Tropical </w:t>
      </w:r>
      <w:r>
        <w:t>Rock Lobster Resource</w:t>
      </w:r>
      <w:r w:rsidR="000504BD">
        <w:t xml:space="preserve"> Assessment Group and Working Group meeting</w:t>
      </w:r>
      <w:r w:rsidR="00680FAE">
        <w:t>.</w:t>
      </w:r>
    </w:p>
    <w:p w:rsidR="00B56F1E" w:rsidRPr="00F12B7C" w:rsidRDefault="00B56F1E" w:rsidP="00B56F1E">
      <w:pPr>
        <w:spacing w:before="0" w:after="0"/>
        <w:rPr>
          <w:b/>
        </w:rPr>
      </w:pPr>
    </w:p>
    <w:tbl>
      <w:tblPr>
        <w:tblStyle w:val="AFMA-default"/>
        <w:tblW w:w="10068" w:type="dxa"/>
        <w:tblLook w:val="04A0" w:firstRow="1" w:lastRow="0" w:firstColumn="1" w:lastColumn="0" w:noHBand="0" w:noVBand="1"/>
      </w:tblPr>
      <w:tblGrid>
        <w:gridCol w:w="784"/>
        <w:gridCol w:w="4472"/>
        <w:gridCol w:w="1244"/>
        <w:gridCol w:w="2044"/>
        <w:gridCol w:w="1524"/>
      </w:tblGrid>
      <w:tr w:rsidR="002B2655" w:rsidTr="00680FAE">
        <w:trPr>
          <w:cnfStyle w:val="100000000000" w:firstRow="1" w:lastRow="0" w:firstColumn="0" w:lastColumn="0" w:oddVBand="0" w:evenVBand="0" w:oddHBand="0" w:evenHBand="0" w:firstRowFirstColumn="0" w:firstRowLastColumn="0" w:lastRowFirstColumn="0" w:lastRowLastColumn="0"/>
        </w:trPr>
        <w:tc>
          <w:tcPr>
            <w:tcW w:w="784" w:type="dxa"/>
          </w:tcPr>
          <w:p w:rsidR="002B2655" w:rsidRPr="002B2655" w:rsidRDefault="002B2655" w:rsidP="00B56F1E">
            <w:pPr>
              <w:spacing w:before="0" w:after="0"/>
              <w:rPr>
                <w:b/>
              </w:rPr>
            </w:pPr>
            <w:r w:rsidRPr="002B2655">
              <w:rPr>
                <w:b/>
              </w:rPr>
              <w:t>No.</w:t>
            </w:r>
          </w:p>
        </w:tc>
        <w:tc>
          <w:tcPr>
            <w:tcW w:w="4472" w:type="dxa"/>
          </w:tcPr>
          <w:p w:rsidR="002B2655" w:rsidRPr="002B2655" w:rsidRDefault="002B2655" w:rsidP="00B56F1E">
            <w:pPr>
              <w:spacing w:before="0" w:after="0"/>
              <w:rPr>
                <w:b/>
              </w:rPr>
            </w:pPr>
            <w:r w:rsidRPr="002B2655">
              <w:rPr>
                <w:b/>
              </w:rPr>
              <w:t>Action Item</w:t>
            </w:r>
          </w:p>
        </w:tc>
        <w:tc>
          <w:tcPr>
            <w:tcW w:w="1244" w:type="dxa"/>
          </w:tcPr>
          <w:p w:rsidR="002B2655" w:rsidRPr="002B2655" w:rsidRDefault="002B2655" w:rsidP="00B56F1E">
            <w:pPr>
              <w:spacing w:before="0" w:after="0"/>
              <w:rPr>
                <w:b/>
              </w:rPr>
            </w:pPr>
            <w:r w:rsidRPr="002B2655">
              <w:rPr>
                <w:b/>
              </w:rPr>
              <w:t>Agenda</w:t>
            </w:r>
          </w:p>
        </w:tc>
        <w:tc>
          <w:tcPr>
            <w:tcW w:w="2044" w:type="dxa"/>
          </w:tcPr>
          <w:p w:rsidR="002B2655" w:rsidRPr="002B2655" w:rsidRDefault="00C66178" w:rsidP="00B56F1E">
            <w:pPr>
              <w:spacing w:before="0" w:after="0"/>
              <w:rPr>
                <w:b/>
              </w:rPr>
            </w:pPr>
            <w:r>
              <w:rPr>
                <w:b/>
              </w:rPr>
              <w:t>Responsible member/agency</w:t>
            </w:r>
          </w:p>
        </w:tc>
        <w:tc>
          <w:tcPr>
            <w:tcW w:w="1524" w:type="dxa"/>
          </w:tcPr>
          <w:p w:rsidR="002B2655" w:rsidRPr="002B2655" w:rsidRDefault="002B2655" w:rsidP="00B56F1E">
            <w:pPr>
              <w:spacing w:before="0" w:after="0"/>
              <w:rPr>
                <w:b/>
              </w:rPr>
            </w:pPr>
            <w:r w:rsidRPr="002B2655">
              <w:rPr>
                <w:b/>
              </w:rPr>
              <w:t>Due Date</w:t>
            </w:r>
          </w:p>
        </w:tc>
      </w:tr>
      <w:tr w:rsidR="00567B76" w:rsidTr="00680FAE">
        <w:tc>
          <w:tcPr>
            <w:tcW w:w="784" w:type="dxa"/>
          </w:tcPr>
          <w:p w:rsidR="00567B76" w:rsidRPr="00E1468A" w:rsidRDefault="00567B76" w:rsidP="00B56F1E">
            <w:pPr>
              <w:pStyle w:val="ListParagraph"/>
              <w:numPr>
                <w:ilvl w:val="0"/>
                <w:numId w:val="8"/>
              </w:numPr>
              <w:spacing w:before="0" w:after="0"/>
              <w:rPr>
                <w:rFonts w:cs="Arial"/>
                <w:szCs w:val="24"/>
              </w:rPr>
            </w:pPr>
          </w:p>
        </w:tc>
        <w:tc>
          <w:tcPr>
            <w:tcW w:w="4472" w:type="dxa"/>
          </w:tcPr>
          <w:p w:rsidR="00567B76" w:rsidRPr="00072566" w:rsidRDefault="00024402" w:rsidP="00B56F1E">
            <w:pPr>
              <w:spacing w:before="0" w:after="0"/>
              <w:ind w:left="360"/>
              <w:jc w:val="both"/>
            </w:pPr>
            <w:r>
              <w:t>CSIRO to investigate possible reasons for the variance between the standardised indices based on analyses which include either Vessel-Name or Vessel-Symbol</w:t>
            </w:r>
          </w:p>
        </w:tc>
        <w:tc>
          <w:tcPr>
            <w:tcW w:w="1244" w:type="dxa"/>
          </w:tcPr>
          <w:p w:rsidR="00567B76" w:rsidRPr="00E1468A" w:rsidRDefault="00680FAE" w:rsidP="00B56F1E">
            <w:pPr>
              <w:spacing w:before="0" w:after="0"/>
              <w:rPr>
                <w:rFonts w:cs="Arial"/>
                <w:szCs w:val="24"/>
              </w:rPr>
            </w:pPr>
            <w:r>
              <w:rPr>
                <w:rFonts w:cs="Arial"/>
                <w:szCs w:val="24"/>
              </w:rPr>
              <w:t>1</w:t>
            </w:r>
          </w:p>
        </w:tc>
        <w:tc>
          <w:tcPr>
            <w:tcW w:w="2044" w:type="dxa"/>
          </w:tcPr>
          <w:p w:rsidR="00567B76" w:rsidRPr="00E1468A" w:rsidRDefault="00680FAE" w:rsidP="00B56F1E">
            <w:pPr>
              <w:spacing w:before="0" w:after="0"/>
              <w:rPr>
                <w:rFonts w:cs="Arial"/>
                <w:szCs w:val="24"/>
              </w:rPr>
            </w:pPr>
            <w:r>
              <w:rPr>
                <w:rFonts w:cs="Arial"/>
                <w:szCs w:val="24"/>
              </w:rPr>
              <w:t>CSIRO</w:t>
            </w:r>
          </w:p>
        </w:tc>
        <w:tc>
          <w:tcPr>
            <w:tcW w:w="1524" w:type="dxa"/>
          </w:tcPr>
          <w:p w:rsidR="00567B76" w:rsidRPr="00E1468A" w:rsidRDefault="00680FAE" w:rsidP="00B56F1E">
            <w:pPr>
              <w:spacing w:before="0" w:after="0"/>
              <w:rPr>
                <w:rFonts w:cs="Arial"/>
                <w:szCs w:val="24"/>
              </w:rPr>
            </w:pPr>
            <w:r>
              <w:rPr>
                <w:rFonts w:cs="Arial"/>
                <w:szCs w:val="24"/>
              </w:rPr>
              <w:t xml:space="preserve">TRLRAG 15 – March 2015 </w:t>
            </w:r>
          </w:p>
        </w:tc>
      </w:tr>
    </w:tbl>
    <w:p w:rsidR="00B56F1E" w:rsidRDefault="00B56F1E" w:rsidP="00B56F1E">
      <w:pPr>
        <w:spacing w:before="0" w:after="0"/>
      </w:pPr>
      <w:bookmarkStart w:id="4" w:name="_Toc438542136"/>
    </w:p>
    <w:p w:rsidR="002B2655" w:rsidRDefault="002B2655" w:rsidP="00B56F1E">
      <w:pPr>
        <w:pStyle w:val="Heading2"/>
        <w:spacing w:before="0" w:after="0"/>
      </w:pPr>
      <w:r>
        <w:t>Agenda Item 1</w:t>
      </w:r>
      <w:r w:rsidR="00F61492">
        <w:t xml:space="preserve"> - Preliminaries</w:t>
      </w:r>
      <w:bookmarkEnd w:id="4"/>
    </w:p>
    <w:p w:rsidR="002B2655" w:rsidRDefault="002B2655" w:rsidP="00B56F1E">
      <w:pPr>
        <w:pStyle w:val="Heading3"/>
        <w:numPr>
          <w:ilvl w:val="1"/>
          <w:numId w:val="4"/>
        </w:numPr>
        <w:spacing w:before="0" w:after="0"/>
      </w:pPr>
      <w:bookmarkStart w:id="5" w:name="_Toc438542137"/>
      <w:r>
        <w:t xml:space="preserve">Apologies / </w:t>
      </w:r>
      <w:r w:rsidR="000504BD">
        <w:t xml:space="preserve">declaration of interest / </w:t>
      </w:r>
      <w:r>
        <w:t>Adoption of Agenda</w:t>
      </w:r>
      <w:bookmarkEnd w:id="5"/>
    </w:p>
    <w:p w:rsidR="00B56F1E" w:rsidRDefault="00B56F1E" w:rsidP="00B56F1E">
      <w:pPr>
        <w:spacing w:before="0" w:after="0"/>
        <w:jc w:val="both"/>
      </w:pPr>
    </w:p>
    <w:p w:rsidR="002B2655" w:rsidRDefault="002B2655" w:rsidP="00B56F1E">
      <w:pPr>
        <w:spacing w:before="0" w:after="0"/>
        <w:jc w:val="both"/>
      </w:pPr>
      <w:r w:rsidRPr="00B56F1E">
        <w:t xml:space="preserve">Apologies were received from </w:t>
      </w:r>
      <w:r w:rsidR="00677439" w:rsidRPr="00B56F1E">
        <w:t xml:space="preserve">Mr </w:t>
      </w:r>
      <w:r w:rsidRPr="00B56F1E">
        <w:t>Phillip Ketchell (</w:t>
      </w:r>
      <w:r w:rsidR="00677439" w:rsidRPr="00B56F1E">
        <w:t>I</w:t>
      </w:r>
      <w:r w:rsidRPr="00B56F1E">
        <w:t>ndustry</w:t>
      </w:r>
      <w:r w:rsidR="00CC2F99" w:rsidRPr="00B56F1E">
        <w:t xml:space="preserve"> </w:t>
      </w:r>
      <w:r w:rsidR="00677439" w:rsidRPr="00B56F1E">
        <w:t>M</w:t>
      </w:r>
      <w:r w:rsidR="00CC2F99" w:rsidRPr="00B56F1E">
        <w:t>ember</w:t>
      </w:r>
      <w:r w:rsidR="001F1ACD" w:rsidRPr="00B56F1E">
        <w:t xml:space="preserve">) </w:t>
      </w:r>
      <w:r w:rsidR="00677439" w:rsidRPr="00B56F1E">
        <w:t>Mr Kenny Bedford (TSRA Fisheries Portfolio Observer)</w:t>
      </w:r>
      <w:r w:rsidR="00B56F1E" w:rsidRPr="00B56F1E">
        <w:t xml:space="preserve">, </w:t>
      </w:r>
      <w:r w:rsidR="001F1ACD" w:rsidRPr="00B56F1E">
        <w:t>Mr Ian Liviko (PNG NFA Observer)</w:t>
      </w:r>
      <w:r w:rsidR="00024402">
        <w:t>, Maluwap N</w:t>
      </w:r>
      <w:r w:rsidR="00F16918">
        <w:t>ona (Chairperson Malu Lamar RNTBC), Mariana Nahas (TSRA Member)</w:t>
      </w:r>
      <w:r w:rsidR="00B56F1E" w:rsidRPr="00B56F1E">
        <w:t xml:space="preserve"> and Mr Mark Dean (Industry Member).</w:t>
      </w:r>
    </w:p>
    <w:p w:rsidR="005D339B" w:rsidRPr="001F1ACD" w:rsidRDefault="005D339B" w:rsidP="00B56F1E">
      <w:pPr>
        <w:spacing w:before="0" w:after="0"/>
        <w:jc w:val="both"/>
      </w:pPr>
    </w:p>
    <w:p w:rsidR="005D339B" w:rsidRPr="001F1ACD" w:rsidRDefault="005D339B" w:rsidP="00B56F1E">
      <w:pPr>
        <w:spacing w:before="0" w:after="0"/>
        <w:jc w:val="both"/>
      </w:pPr>
      <w:r w:rsidRPr="001F1ACD">
        <w:t xml:space="preserve">The following members </w:t>
      </w:r>
      <w:r w:rsidR="00717FFC" w:rsidRPr="001F1ACD">
        <w:t>could not be contacted for the meeting</w:t>
      </w:r>
      <w:r w:rsidRPr="001F1ACD">
        <w:t xml:space="preserve">; Mr </w:t>
      </w:r>
      <w:r w:rsidR="001F1ACD" w:rsidRPr="001F1ACD">
        <w:t xml:space="preserve">Aaron Tom (Industry Member), </w:t>
      </w:r>
      <w:r w:rsidR="00677439">
        <w:t xml:space="preserve">Mr </w:t>
      </w:r>
      <w:r w:rsidR="001F1ACD" w:rsidRPr="001F1ACD">
        <w:t xml:space="preserve">Terrence Whap (Industry Member), </w:t>
      </w:r>
      <w:r w:rsidR="00677439">
        <w:t xml:space="preserve">Mr </w:t>
      </w:r>
      <w:r w:rsidR="001F1ACD" w:rsidRPr="001F1ACD">
        <w:t>Mark David (Industry Member)</w:t>
      </w:r>
      <w:r w:rsidR="00717FFC">
        <w:t>,</w:t>
      </w:r>
      <w:r w:rsidR="001F1ACD" w:rsidRPr="001F1ACD">
        <w:t xml:space="preserve"> </w:t>
      </w:r>
      <w:r w:rsidR="00717FFC" w:rsidRPr="001F1ACD">
        <w:t xml:space="preserve">Mr Les Pitt (Industry </w:t>
      </w:r>
      <w:r w:rsidR="00717FFC">
        <w:t>M</w:t>
      </w:r>
      <w:r w:rsidR="00717FFC" w:rsidRPr="001F1ACD">
        <w:t>ember)</w:t>
      </w:r>
      <w:r w:rsidR="001F1ACD" w:rsidRPr="001F1ACD">
        <w:t xml:space="preserve">and </w:t>
      </w:r>
      <w:r w:rsidR="00677439">
        <w:t xml:space="preserve">Mr </w:t>
      </w:r>
      <w:r w:rsidR="001F1ACD" w:rsidRPr="001F1ACD">
        <w:t>Luke Dillon (Industry Member)</w:t>
      </w:r>
      <w:r w:rsidR="001F1ACD">
        <w:t>.</w:t>
      </w:r>
    </w:p>
    <w:p w:rsidR="005D339B" w:rsidRPr="001F1ACD" w:rsidRDefault="005D339B" w:rsidP="00B56F1E">
      <w:pPr>
        <w:spacing w:before="0" w:after="0"/>
        <w:jc w:val="both"/>
      </w:pPr>
    </w:p>
    <w:p w:rsidR="005D339B" w:rsidRDefault="005D339B" w:rsidP="00B56F1E">
      <w:pPr>
        <w:spacing w:before="0" w:after="0"/>
        <w:jc w:val="both"/>
      </w:pPr>
      <w:r w:rsidRPr="005D339B">
        <w:t xml:space="preserve">The TRLRAG and WG </w:t>
      </w:r>
      <w:r>
        <w:t>recognised the likely conflict of interest for industry members when developing advice for future TACs but agreed for members to remain present for the discussions noting the</w:t>
      </w:r>
      <w:r w:rsidR="00C66178">
        <w:t xml:space="preserve"> important contribution of </w:t>
      </w:r>
      <w:r>
        <w:t>industry expertise.</w:t>
      </w:r>
    </w:p>
    <w:p w:rsidR="005D339B" w:rsidRDefault="005D339B" w:rsidP="00B56F1E">
      <w:pPr>
        <w:spacing w:before="0" w:after="0"/>
        <w:jc w:val="both"/>
      </w:pPr>
    </w:p>
    <w:p w:rsidR="005D339B" w:rsidRDefault="005D339B" w:rsidP="00B56F1E">
      <w:pPr>
        <w:spacing w:before="0" w:after="0"/>
        <w:jc w:val="both"/>
      </w:pPr>
      <w:r>
        <w:t xml:space="preserve">Members agreed to the agenda noting the meeting priority was to develop advice on the RBC/TAC for the 2015/16 fishing season. </w:t>
      </w:r>
    </w:p>
    <w:p w:rsidR="005D339B" w:rsidRPr="005D339B" w:rsidRDefault="005D339B" w:rsidP="00B56F1E">
      <w:pPr>
        <w:spacing w:before="0" w:after="0"/>
        <w:jc w:val="both"/>
      </w:pPr>
    </w:p>
    <w:p w:rsidR="008E2091" w:rsidRDefault="004E5AD9" w:rsidP="00B56F1E">
      <w:pPr>
        <w:pStyle w:val="Heading2"/>
        <w:spacing w:before="0" w:after="0"/>
      </w:pPr>
      <w:bookmarkStart w:id="6" w:name="_Toc438542138"/>
      <w:r>
        <w:t>Agenda Item 1</w:t>
      </w:r>
      <w:r w:rsidR="008E2091">
        <w:t xml:space="preserve"> </w:t>
      </w:r>
      <w:r>
        <w:t>– Catch and effort statistics and standardised CPUE indices, 2015</w:t>
      </w:r>
      <w:bookmarkEnd w:id="6"/>
    </w:p>
    <w:p w:rsidR="000504BD" w:rsidRDefault="000504BD" w:rsidP="00B56F1E">
      <w:pPr>
        <w:spacing w:before="0" w:after="0"/>
        <w:jc w:val="both"/>
      </w:pPr>
    </w:p>
    <w:p w:rsidR="000504BD" w:rsidRDefault="008E2091" w:rsidP="00B56F1E">
      <w:pPr>
        <w:spacing w:before="0" w:after="0"/>
        <w:jc w:val="both"/>
      </w:pPr>
      <w:r>
        <w:t>The TRLRAG</w:t>
      </w:r>
      <w:r w:rsidR="00A73E3D">
        <w:t xml:space="preserve"> </w:t>
      </w:r>
      <w:r w:rsidR="005D51F2">
        <w:t xml:space="preserve"> and TRLWG </w:t>
      </w:r>
      <w:r w:rsidR="00F013CC" w:rsidRPr="00361AB5">
        <w:t>noted</w:t>
      </w:r>
      <w:r w:rsidR="000504BD">
        <w:t xml:space="preserve"> </w:t>
      </w:r>
      <w:r w:rsidR="005D51F2">
        <w:t>an</w:t>
      </w:r>
      <w:r w:rsidR="000504BD">
        <w:t xml:space="preserve"> update on catch and effort</w:t>
      </w:r>
      <w:r>
        <w:t xml:space="preserve"> </w:t>
      </w:r>
      <w:r w:rsidR="000504BD">
        <w:t>statistics and standardised CPUE indices as presented by CSIRO and detailed in the paper titled “</w:t>
      </w:r>
      <w:r w:rsidR="000504BD" w:rsidRPr="000504BD">
        <w:rPr>
          <w:i/>
        </w:rPr>
        <w:t>Catch and Effort Statistics and Standardised CPUE Indi</w:t>
      </w:r>
      <w:r w:rsidR="00072566">
        <w:rPr>
          <w:i/>
        </w:rPr>
        <w:t>ces for the Torres Strait Rock L</w:t>
      </w:r>
      <w:r w:rsidR="000504BD" w:rsidRPr="000504BD">
        <w:rPr>
          <w:i/>
        </w:rPr>
        <w:t>obster Fishery – 2015 December update</w:t>
      </w:r>
      <w:r w:rsidR="000504BD">
        <w:t xml:space="preserve">’ </w:t>
      </w:r>
      <w:r w:rsidR="000504BD" w:rsidRPr="00024402">
        <w:rPr>
          <w:b/>
        </w:rPr>
        <w:t>(Attachment A)</w:t>
      </w:r>
      <w:r w:rsidR="000504BD">
        <w:t>.</w:t>
      </w:r>
    </w:p>
    <w:p w:rsidR="00642881" w:rsidRDefault="00642881">
      <w:pPr>
        <w:spacing w:before="0" w:after="200"/>
      </w:pPr>
      <w:r>
        <w:br w:type="page"/>
      </w:r>
    </w:p>
    <w:p w:rsidR="005D51F2" w:rsidRDefault="005D51F2" w:rsidP="00B56F1E">
      <w:pPr>
        <w:spacing w:before="0" w:after="0"/>
        <w:jc w:val="both"/>
      </w:pPr>
      <w:r>
        <w:lastRenderedPageBreak/>
        <w:t xml:space="preserve">Members noted the following methodology </w:t>
      </w:r>
      <w:r w:rsidR="00375105">
        <w:t>updates</w:t>
      </w:r>
      <w:r>
        <w:t>:</w:t>
      </w:r>
    </w:p>
    <w:p w:rsidR="00642881" w:rsidRDefault="00642881" w:rsidP="00F16918">
      <w:pPr>
        <w:spacing w:before="0" w:after="0"/>
        <w:ind w:left="720"/>
        <w:jc w:val="both"/>
      </w:pPr>
    </w:p>
    <w:p w:rsidR="005D51F2" w:rsidRDefault="00B469C0" w:rsidP="00B56F1E">
      <w:pPr>
        <w:pStyle w:val="ListParagraph"/>
        <w:numPr>
          <w:ilvl w:val="0"/>
          <w:numId w:val="7"/>
        </w:numPr>
        <w:spacing w:before="0" w:after="0"/>
        <w:jc w:val="both"/>
      </w:pPr>
      <w:r>
        <w:t>v</w:t>
      </w:r>
      <w:r w:rsidR="005D51F2">
        <w:t xml:space="preserve">essel name and symbol </w:t>
      </w:r>
      <w:r w:rsidR="00642881">
        <w:t xml:space="preserve">combined </w:t>
      </w:r>
      <w:r>
        <w:t>was</w:t>
      </w:r>
      <w:r w:rsidR="005D51F2">
        <w:t xml:space="preserve"> used as a new categorical variable for filtering TVH sector data. This was </w:t>
      </w:r>
      <w:r w:rsidR="00642881">
        <w:t>recommended</w:t>
      </w:r>
      <w:r w:rsidR="005D51F2">
        <w:t xml:space="preserve"> by the TRLRAG at its</w:t>
      </w:r>
      <w:r w:rsidR="00375105">
        <w:t xml:space="preserve"> meeting in August 2015;</w:t>
      </w:r>
    </w:p>
    <w:p w:rsidR="00642881" w:rsidRDefault="00642881" w:rsidP="00F16918">
      <w:pPr>
        <w:pStyle w:val="ListParagraph"/>
        <w:spacing w:before="0" w:after="0"/>
        <w:jc w:val="both"/>
      </w:pPr>
    </w:p>
    <w:p w:rsidR="005D51F2" w:rsidRDefault="00B469C0" w:rsidP="00B56F1E">
      <w:pPr>
        <w:pStyle w:val="ListParagraph"/>
        <w:numPr>
          <w:ilvl w:val="0"/>
          <w:numId w:val="7"/>
        </w:numPr>
        <w:spacing w:before="0" w:after="0"/>
        <w:jc w:val="both"/>
      </w:pPr>
      <w:r>
        <w:t>t</w:t>
      </w:r>
      <w:r w:rsidR="005D51F2">
        <w:t xml:space="preserve">he monthly Southern Oscillation Index was included in the CPUE standardisation but had little influence on either the TVH or TIB sector </w:t>
      </w:r>
      <w:r w:rsidR="00375105">
        <w:t>annual index of abundance;</w:t>
      </w:r>
    </w:p>
    <w:p w:rsidR="00642881" w:rsidRDefault="00642881" w:rsidP="00F16918">
      <w:pPr>
        <w:pStyle w:val="ListParagraph"/>
      </w:pPr>
    </w:p>
    <w:p w:rsidR="005D51F2" w:rsidRDefault="005D51F2" w:rsidP="00B56F1E">
      <w:pPr>
        <w:pStyle w:val="ListParagraph"/>
        <w:numPr>
          <w:ilvl w:val="0"/>
          <w:numId w:val="7"/>
        </w:numPr>
        <w:spacing w:before="0" w:after="0"/>
        <w:jc w:val="both"/>
      </w:pPr>
      <w:r>
        <w:t xml:space="preserve">TIB seller names have been </w:t>
      </w:r>
      <w:r w:rsidRPr="00642881">
        <w:t xml:space="preserve">reduced from </w:t>
      </w:r>
      <w:r w:rsidR="00642881" w:rsidRPr="00642881">
        <w:t>2606</w:t>
      </w:r>
      <w:r w:rsidRPr="00642881">
        <w:t xml:space="preserve"> to </w:t>
      </w:r>
      <w:r w:rsidR="00642881" w:rsidRPr="00642881">
        <w:t>983</w:t>
      </w:r>
      <w:r w:rsidRPr="00642881">
        <w:t xml:space="preserve"> </w:t>
      </w:r>
      <w:r w:rsidR="00642881">
        <w:t>in the TIB Docket</w:t>
      </w:r>
      <w:r w:rsidR="00642881">
        <w:noBreakHyphen/>
        <w:t xml:space="preserve">book database </w:t>
      </w:r>
      <w:r w:rsidRPr="00642881">
        <w:t>as a</w:t>
      </w:r>
      <w:r>
        <w:t xml:space="preserve"> result of information provided by industry</w:t>
      </w:r>
      <w:r w:rsidR="00642881">
        <w:t xml:space="preserve"> members</w:t>
      </w:r>
      <w:r>
        <w:t xml:space="preserve"> at the CSIRO Science Capability Training Workshop held in Brisbane on 3-6 November 2015;</w:t>
      </w:r>
      <w:r w:rsidR="00A12054">
        <w:t xml:space="preserve"> and,</w:t>
      </w:r>
    </w:p>
    <w:p w:rsidR="00642881" w:rsidRDefault="00642881" w:rsidP="00F16918">
      <w:pPr>
        <w:pStyle w:val="ListParagraph"/>
      </w:pPr>
    </w:p>
    <w:p w:rsidR="00F16918" w:rsidRDefault="00F16918" w:rsidP="00B56F1E">
      <w:pPr>
        <w:pStyle w:val="ListParagraph"/>
        <w:numPr>
          <w:ilvl w:val="0"/>
          <w:numId w:val="7"/>
        </w:numPr>
        <w:spacing w:before="0" w:after="0"/>
        <w:jc w:val="both"/>
      </w:pPr>
      <w:r>
        <w:t>The proportion of catch as tails was fitted as a class variable with each record.</w:t>
      </w:r>
    </w:p>
    <w:p w:rsidR="00375105" w:rsidRDefault="00375105" w:rsidP="00F16918">
      <w:pPr>
        <w:spacing w:before="0" w:after="0"/>
        <w:ind w:left="720"/>
        <w:jc w:val="both"/>
      </w:pPr>
    </w:p>
    <w:p w:rsidR="00375105" w:rsidRDefault="00375105" w:rsidP="00B56F1E">
      <w:pPr>
        <w:spacing w:before="0" w:after="0"/>
        <w:jc w:val="both"/>
      </w:pPr>
      <w:r w:rsidRPr="0061037E">
        <w:t xml:space="preserve">Members </w:t>
      </w:r>
      <w:r w:rsidR="0061037E" w:rsidRPr="0061037E">
        <w:t xml:space="preserve">and Observers </w:t>
      </w:r>
      <w:r w:rsidRPr="0061037E">
        <w:t xml:space="preserve">noted the benefit of the CSIRO </w:t>
      </w:r>
      <w:r w:rsidR="009F6A0E" w:rsidRPr="0061037E">
        <w:t>Science Capability Training Workshop in</w:t>
      </w:r>
      <w:r>
        <w:t xml:space="preserve"> build</w:t>
      </w:r>
      <w:r w:rsidR="009F6A0E">
        <w:t xml:space="preserve">ing industry understanding of the stock assessment process and to </w:t>
      </w:r>
      <w:r>
        <w:t>improve</w:t>
      </w:r>
      <w:r w:rsidR="0061037E">
        <w:t xml:space="preserve"> the Docket-book data</w:t>
      </w:r>
      <w:r>
        <w:t xml:space="preserve"> </w:t>
      </w:r>
      <w:r w:rsidR="009F6A0E">
        <w:t>used through industry input.</w:t>
      </w:r>
    </w:p>
    <w:p w:rsidR="00375105" w:rsidRDefault="00375105" w:rsidP="00B56F1E">
      <w:pPr>
        <w:spacing w:before="0" w:after="0"/>
        <w:jc w:val="both"/>
      </w:pPr>
    </w:p>
    <w:p w:rsidR="007456DC" w:rsidRDefault="00211979" w:rsidP="00B56F1E">
      <w:pPr>
        <w:spacing w:before="0" w:after="0"/>
        <w:jc w:val="both"/>
        <w:rPr>
          <w:b/>
        </w:rPr>
      </w:pPr>
      <w:r w:rsidRPr="00041CE8">
        <w:t>The TRLRAG</w:t>
      </w:r>
      <w:r w:rsidR="00072566">
        <w:t xml:space="preserve"> and TRL</w:t>
      </w:r>
      <w:r w:rsidR="00375105">
        <w:t>WG</w:t>
      </w:r>
      <w:r w:rsidRPr="00041CE8">
        <w:t xml:space="preserve"> </w:t>
      </w:r>
      <w:r w:rsidR="00375105" w:rsidRPr="00375105">
        <w:t>agreed</w:t>
      </w:r>
      <w:r w:rsidR="00375105">
        <w:rPr>
          <w:b/>
        </w:rPr>
        <w:t xml:space="preserve"> </w:t>
      </w:r>
      <w:r w:rsidR="00072566">
        <w:t>to</w:t>
      </w:r>
      <w:r w:rsidR="00375105">
        <w:t xml:space="preserve"> the following </w:t>
      </w:r>
      <w:r w:rsidR="00375105" w:rsidRPr="00375105">
        <w:rPr>
          <w:b/>
        </w:rPr>
        <w:t>action</w:t>
      </w:r>
      <w:r w:rsidR="007456DC">
        <w:rPr>
          <w:b/>
        </w:rPr>
        <w:t>:</w:t>
      </w:r>
    </w:p>
    <w:p w:rsidR="00642881" w:rsidRPr="00306953" w:rsidRDefault="00642881" w:rsidP="00B56F1E">
      <w:pPr>
        <w:spacing w:before="0" w:after="0"/>
        <w:jc w:val="both"/>
      </w:pPr>
    </w:p>
    <w:p w:rsidR="00375105" w:rsidRDefault="00B30DF0" w:rsidP="00B30DF0">
      <w:pPr>
        <w:pStyle w:val="ListParagraph"/>
        <w:numPr>
          <w:ilvl w:val="0"/>
          <w:numId w:val="7"/>
        </w:numPr>
        <w:spacing w:before="0" w:after="0"/>
        <w:jc w:val="both"/>
      </w:pPr>
      <w:r w:rsidRPr="00B30DF0">
        <w:t>CSIRO to investigate possible reasons for the variance between the standardised indices based on analyses which include either Vessel-Name or Vessel-Symbol</w:t>
      </w:r>
      <w:r w:rsidR="004F4466">
        <w:t>.</w:t>
      </w:r>
    </w:p>
    <w:p w:rsidR="00B56F1E" w:rsidRPr="00375105" w:rsidRDefault="00B56F1E" w:rsidP="00B56F1E">
      <w:pPr>
        <w:spacing w:before="0" w:after="0"/>
        <w:jc w:val="both"/>
      </w:pPr>
    </w:p>
    <w:p w:rsidR="00FB24FC" w:rsidRDefault="004E5AD9" w:rsidP="00B56F1E">
      <w:pPr>
        <w:pStyle w:val="Heading2"/>
        <w:spacing w:before="0" w:after="0"/>
      </w:pPr>
      <w:bookmarkStart w:id="7" w:name="_Toc438542139"/>
      <w:r>
        <w:t>Agenda Item 2</w:t>
      </w:r>
      <w:r w:rsidR="005971E3">
        <w:t xml:space="preserve"> – </w:t>
      </w:r>
      <w:r>
        <w:t>Pre-season population survey update, 2015</w:t>
      </w:r>
      <w:bookmarkEnd w:id="7"/>
    </w:p>
    <w:p w:rsidR="00B56F1E" w:rsidRDefault="00B56F1E" w:rsidP="00B56F1E">
      <w:pPr>
        <w:spacing w:before="0" w:after="0"/>
        <w:jc w:val="both"/>
        <w:rPr>
          <w:rFonts w:cs="Arial"/>
        </w:rPr>
      </w:pPr>
    </w:p>
    <w:p w:rsidR="000504BD" w:rsidRDefault="000504BD" w:rsidP="00B56F1E">
      <w:pPr>
        <w:spacing w:before="0" w:after="0"/>
        <w:jc w:val="both"/>
      </w:pPr>
      <w:r>
        <w:rPr>
          <w:rFonts w:cs="Arial"/>
        </w:rPr>
        <w:t>The TRLRAG</w:t>
      </w:r>
      <w:r w:rsidR="004F4466">
        <w:rPr>
          <w:rFonts w:cs="Arial"/>
        </w:rPr>
        <w:t xml:space="preserve"> and TRLWG</w:t>
      </w:r>
      <w:r>
        <w:rPr>
          <w:rFonts w:cs="Arial"/>
        </w:rPr>
        <w:t xml:space="preserve"> </w:t>
      </w:r>
      <w:r w:rsidRPr="007529CF">
        <w:rPr>
          <w:rFonts w:cs="Arial"/>
        </w:rPr>
        <w:t>noted</w:t>
      </w:r>
      <w:r>
        <w:rPr>
          <w:rFonts w:cs="Arial"/>
        </w:rPr>
        <w:t xml:space="preserve"> </w:t>
      </w:r>
      <w:r w:rsidR="004F4466">
        <w:rPr>
          <w:rFonts w:cs="Arial"/>
        </w:rPr>
        <w:t>an</w:t>
      </w:r>
      <w:r>
        <w:rPr>
          <w:rFonts w:cs="Arial"/>
        </w:rPr>
        <w:t xml:space="preserve"> update </w:t>
      </w:r>
      <w:r w:rsidR="009F6A0E">
        <w:rPr>
          <w:rFonts w:cs="Arial"/>
        </w:rPr>
        <w:t>on</w:t>
      </w:r>
      <w:r>
        <w:rPr>
          <w:rFonts w:cs="Arial"/>
        </w:rPr>
        <w:t xml:space="preserve"> the 2015-16 pre-season survey</w:t>
      </w:r>
      <w:r>
        <w:t xml:space="preserve"> </w:t>
      </w:r>
      <w:r w:rsidR="004F4466">
        <w:t xml:space="preserve">as presented by CSIRO and detailed in the paper titled </w:t>
      </w:r>
      <w:r w:rsidR="00A84C35">
        <w:t>‘</w:t>
      </w:r>
      <w:r w:rsidR="004F4466">
        <w:rPr>
          <w:i/>
        </w:rPr>
        <w:t>Torres Strait TRL Pre-Season Population Survey – 2015 December Update</w:t>
      </w:r>
      <w:r w:rsidR="004F4466">
        <w:t>’ (Attachment B).</w:t>
      </w:r>
    </w:p>
    <w:p w:rsidR="0061037E" w:rsidRDefault="0061037E" w:rsidP="00B56F1E">
      <w:pPr>
        <w:spacing w:before="0" w:after="0"/>
        <w:jc w:val="both"/>
      </w:pPr>
    </w:p>
    <w:p w:rsidR="003F4C2E" w:rsidRDefault="00B469C0" w:rsidP="00B56F1E">
      <w:pPr>
        <w:spacing w:before="0" w:after="0"/>
        <w:jc w:val="both"/>
      </w:pPr>
      <w:r>
        <w:t>Members noted</w:t>
      </w:r>
      <w:r w:rsidR="007B5996">
        <w:t xml:space="preserve"> </w:t>
      </w:r>
      <w:r w:rsidR="00A12054">
        <w:t xml:space="preserve">the following regarding </w:t>
      </w:r>
      <w:r w:rsidR="007B5996">
        <w:t>the 2015</w:t>
      </w:r>
      <w:r w:rsidR="00A12054">
        <w:t xml:space="preserve"> season</w:t>
      </w:r>
      <w:r w:rsidR="007B5996">
        <w:t>:</w:t>
      </w:r>
    </w:p>
    <w:p w:rsidR="00B56F1E" w:rsidRDefault="00B56F1E" w:rsidP="00B56F1E">
      <w:pPr>
        <w:spacing w:before="0" w:after="0"/>
        <w:jc w:val="both"/>
      </w:pPr>
    </w:p>
    <w:p w:rsidR="007B5996" w:rsidRDefault="00A12054" w:rsidP="00B56F1E">
      <w:pPr>
        <w:pStyle w:val="ListParagraph"/>
        <w:numPr>
          <w:ilvl w:val="0"/>
          <w:numId w:val="7"/>
        </w:numPr>
        <w:spacing w:before="0" w:after="0"/>
        <w:jc w:val="both"/>
      </w:pPr>
      <w:r>
        <w:t xml:space="preserve">The </w:t>
      </w:r>
      <w:r w:rsidR="0003044A">
        <w:t xml:space="preserve">pre-season survey involved a reduced number </w:t>
      </w:r>
      <w:r w:rsidR="00D65FD0">
        <w:t>of sites (7</w:t>
      </w:r>
      <w:r w:rsidR="00B30DF0">
        <w:t>8</w:t>
      </w:r>
      <w:r w:rsidR="00D65FD0">
        <w:t xml:space="preserve"> down from 130)</w:t>
      </w:r>
      <w:r w:rsidR="00A84C35">
        <w:t>. The reduced number of sample sites is considered representative and does</w:t>
      </w:r>
      <w:r w:rsidR="00D65FD0">
        <w:t xml:space="preserve"> not significantly impact the abundance time series. </w:t>
      </w:r>
      <w:r>
        <w:t>If conducted in line with scientific requirements, a</w:t>
      </w:r>
      <w:r w:rsidR="00D65FD0">
        <w:t xml:space="preserve">dditional </w:t>
      </w:r>
      <w:r>
        <w:t>industry-</w:t>
      </w:r>
      <w:r w:rsidR="00D65FD0">
        <w:t>run surveys would increase the precision and provide greater confidence in the estimates of annual recruitment.</w:t>
      </w:r>
    </w:p>
    <w:p w:rsidR="007B5996" w:rsidRDefault="007B5996" w:rsidP="00B56F1E">
      <w:pPr>
        <w:pStyle w:val="ListParagraph"/>
        <w:spacing w:before="0" w:after="0"/>
        <w:jc w:val="both"/>
      </w:pPr>
    </w:p>
    <w:p w:rsidR="00A12054" w:rsidRDefault="00A12054" w:rsidP="00B56F1E">
      <w:pPr>
        <w:pStyle w:val="ListParagraph"/>
        <w:numPr>
          <w:ilvl w:val="0"/>
          <w:numId w:val="7"/>
        </w:numPr>
        <w:spacing w:before="0" w:after="0"/>
        <w:jc w:val="both"/>
      </w:pPr>
      <w:r>
        <w:t xml:space="preserve">The </w:t>
      </w:r>
      <w:r w:rsidR="00B30DF0">
        <w:t xml:space="preserve">2015 </w:t>
      </w:r>
      <w:r w:rsidR="00D65FD0">
        <w:t xml:space="preserve">index of recruit abundance </w:t>
      </w:r>
      <w:r w:rsidR="007B5996">
        <w:t xml:space="preserve">(1+) </w:t>
      </w:r>
      <w:r w:rsidR="00D65FD0">
        <w:t>is the highest recorded, although not significantly higher than the 2006 and 2014 levels.</w:t>
      </w:r>
      <w:r w:rsidR="007B5996">
        <w:t xml:space="preserve"> The high </w:t>
      </w:r>
      <w:r>
        <w:t>recruitment i</w:t>
      </w:r>
      <w:r w:rsidR="007B5996">
        <w:t xml:space="preserve">s mainly driven by levels recorded in the Kiracaldie_rubble, South_east and TI_bridge strata. Low abundance was recorded in Mabuiag and Buru </w:t>
      </w:r>
      <w:r>
        <w:t>strata</w:t>
      </w:r>
      <w:r w:rsidR="007B5996">
        <w:t xml:space="preserve">. </w:t>
      </w:r>
    </w:p>
    <w:p w:rsidR="0003044A" w:rsidRDefault="007B5996" w:rsidP="00B56F1E">
      <w:pPr>
        <w:pStyle w:val="ListParagraph"/>
        <w:numPr>
          <w:ilvl w:val="0"/>
          <w:numId w:val="7"/>
        </w:numPr>
        <w:spacing w:before="0" w:after="0"/>
        <w:jc w:val="both"/>
      </w:pPr>
      <w:r>
        <w:t xml:space="preserve">Sand incursions were recorded over the seabed habitat at several </w:t>
      </w:r>
      <w:r w:rsidR="00A84C35">
        <w:t xml:space="preserve">sites across a number of </w:t>
      </w:r>
      <w:r w:rsidR="00072566">
        <w:t>strata</w:t>
      </w:r>
      <w:r w:rsidR="00B56F1E">
        <w:t>.</w:t>
      </w:r>
    </w:p>
    <w:p w:rsidR="00EB2242" w:rsidRDefault="007B5996" w:rsidP="00B56F1E">
      <w:pPr>
        <w:spacing w:before="0" w:after="0"/>
        <w:jc w:val="both"/>
      </w:pPr>
      <w:r>
        <w:lastRenderedPageBreak/>
        <w:t>Members noted that although the pre-season survey recorded the highest index of recruit abundance, pre-season surveys have taken place in mostly low abundance years</w:t>
      </w:r>
      <w:r w:rsidR="00A84C35">
        <w:t xml:space="preserve"> (based on standardised CPUE index)</w:t>
      </w:r>
      <w:r>
        <w:t xml:space="preserve">. </w:t>
      </w:r>
      <w:r w:rsidR="00A12054">
        <w:t>T</w:t>
      </w:r>
      <w:r>
        <w:t xml:space="preserve">he </w:t>
      </w:r>
      <w:r w:rsidR="00B30DF0">
        <w:t xml:space="preserve">2015 </w:t>
      </w:r>
      <w:r>
        <w:t xml:space="preserve">index </w:t>
      </w:r>
      <w:r w:rsidR="00A12054">
        <w:t xml:space="preserve">therefore </w:t>
      </w:r>
      <w:r w:rsidR="00EF4643">
        <w:t>may not reflect such high recruitment to the fishery based on</w:t>
      </w:r>
      <w:r>
        <w:t xml:space="preserve"> average year</w:t>
      </w:r>
      <w:r w:rsidR="00EF4643">
        <w:t>s</w:t>
      </w:r>
      <w:r>
        <w:t xml:space="preserve">. </w:t>
      </w:r>
      <w:r w:rsidR="00EB2242">
        <w:t>It was noted however that the</w:t>
      </w:r>
      <w:r w:rsidR="00EB2242" w:rsidRPr="00EB2242">
        <w:t xml:space="preserve"> </w:t>
      </w:r>
      <w:r w:rsidR="00EB2242">
        <w:t>stock assessment model balanc</w:t>
      </w:r>
      <w:r w:rsidR="00EF4643">
        <w:t>es</w:t>
      </w:r>
      <w:r w:rsidR="00EB2242">
        <w:t xml:space="preserve"> between the pre-season recruitment data and when available, the subsequent 2+ abundance data collected from the mid-season surveys.</w:t>
      </w:r>
    </w:p>
    <w:p w:rsidR="00A84C35" w:rsidRDefault="00A84C35" w:rsidP="00B56F1E">
      <w:pPr>
        <w:spacing w:before="0" w:after="0"/>
        <w:jc w:val="both"/>
      </w:pPr>
    </w:p>
    <w:p w:rsidR="00A84C35" w:rsidRDefault="00A84C35" w:rsidP="00B56F1E">
      <w:pPr>
        <w:spacing w:before="0" w:after="0"/>
        <w:jc w:val="both"/>
      </w:pPr>
      <w:r>
        <w:t>One member noted concerns that the decision not to conduct a 2016 mid-year survey couple</w:t>
      </w:r>
      <w:r w:rsidR="00EF4643">
        <w:t>d</w:t>
      </w:r>
      <w:r>
        <w:t xml:space="preserve"> with an anomalous 2015 fishing season with </w:t>
      </w:r>
      <w:r w:rsidR="00F118EA">
        <w:t>low catches may increase uncertainty in the stock assessment process.</w:t>
      </w:r>
    </w:p>
    <w:p w:rsidR="00B56F1E" w:rsidRDefault="00B56F1E" w:rsidP="00A84C35">
      <w:pPr>
        <w:spacing w:before="0" w:after="0"/>
      </w:pPr>
    </w:p>
    <w:p w:rsidR="005971E3" w:rsidRDefault="004E5AD9" w:rsidP="00B56F1E">
      <w:pPr>
        <w:pStyle w:val="Heading2"/>
        <w:spacing w:before="0" w:after="0"/>
      </w:pPr>
      <w:bookmarkStart w:id="8" w:name="_Toc438542140"/>
      <w:r>
        <w:t>Agenda Item 3</w:t>
      </w:r>
      <w:r w:rsidR="00B41B24" w:rsidRPr="00B41B24">
        <w:t xml:space="preserve"> – </w:t>
      </w:r>
      <w:r>
        <w:t>Catch comparison with TAC, 2015</w:t>
      </w:r>
      <w:bookmarkEnd w:id="8"/>
      <w:r>
        <w:t xml:space="preserve"> </w:t>
      </w:r>
    </w:p>
    <w:p w:rsidR="008A75B2" w:rsidRDefault="008A75B2" w:rsidP="00B56F1E">
      <w:pPr>
        <w:pStyle w:val="AFMANumberedlist"/>
        <w:numPr>
          <w:ilvl w:val="0"/>
          <w:numId w:val="0"/>
        </w:numPr>
        <w:spacing w:before="0" w:after="0"/>
        <w:rPr>
          <w:rFonts w:cs="Arial"/>
        </w:rPr>
      </w:pPr>
    </w:p>
    <w:p w:rsidR="00EB2242" w:rsidRDefault="00EB2242" w:rsidP="00F118EA">
      <w:pPr>
        <w:spacing w:before="0" w:after="0"/>
        <w:jc w:val="both"/>
      </w:pPr>
      <w:r>
        <w:rPr>
          <w:rFonts w:cs="Arial"/>
        </w:rPr>
        <w:t xml:space="preserve">The TRLRAG and TRLWG </w:t>
      </w:r>
      <w:r w:rsidRPr="007529CF">
        <w:rPr>
          <w:rFonts w:cs="Arial"/>
        </w:rPr>
        <w:t>noted</w:t>
      </w:r>
      <w:r>
        <w:rPr>
          <w:rFonts w:cs="Arial"/>
        </w:rPr>
        <w:t xml:space="preserve"> advice from CSIRO regarding the </w:t>
      </w:r>
      <w:r w:rsidR="008606F6">
        <w:rPr>
          <w:rFonts w:cs="Arial"/>
        </w:rPr>
        <w:t>potential drivers for th</w:t>
      </w:r>
      <w:r>
        <w:rPr>
          <w:rFonts w:cs="Arial"/>
        </w:rPr>
        <w:t xml:space="preserve">e difference between the 2015 TAC and </w:t>
      </w:r>
      <w:r w:rsidR="00F118EA">
        <w:rPr>
          <w:rFonts w:cs="Arial"/>
        </w:rPr>
        <w:t xml:space="preserve">the reported </w:t>
      </w:r>
      <w:r>
        <w:rPr>
          <w:rFonts w:cs="Arial"/>
        </w:rPr>
        <w:t>catch</w:t>
      </w:r>
      <w:r w:rsidR="008606F6">
        <w:rPr>
          <w:rFonts w:cs="Arial"/>
        </w:rPr>
        <w:t xml:space="preserve"> as </w:t>
      </w:r>
      <w:r>
        <w:t xml:space="preserve">detailed in the paper titled </w:t>
      </w:r>
      <w:r w:rsidR="008606F6">
        <w:t>‘</w:t>
      </w:r>
      <w:r>
        <w:rPr>
          <w:i/>
        </w:rPr>
        <w:t xml:space="preserve">Torres Strait TRL </w:t>
      </w:r>
      <w:r w:rsidR="008606F6">
        <w:rPr>
          <w:i/>
        </w:rPr>
        <w:t>2015 catch comparison with the TAC and reasons for the difference</w:t>
      </w:r>
      <w:r w:rsidR="00F118EA">
        <w:rPr>
          <w:i/>
        </w:rPr>
        <w:t>’</w:t>
      </w:r>
      <w:r>
        <w:t xml:space="preserve"> (Attachment </w:t>
      </w:r>
      <w:r w:rsidR="008606F6">
        <w:t>C</w:t>
      </w:r>
      <w:r>
        <w:t>).</w:t>
      </w:r>
      <w:r w:rsidR="008606F6">
        <w:t xml:space="preserve"> </w:t>
      </w:r>
      <w:r w:rsidR="009F6A0E">
        <w:t>D</w:t>
      </w:r>
      <w:r w:rsidR="008606F6">
        <w:t xml:space="preserve">rivers identified in order of </w:t>
      </w:r>
      <w:r w:rsidR="00072566">
        <w:t>least</w:t>
      </w:r>
      <w:r w:rsidR="008606F6">
        <w:t xml:space="preserve"> to most likely </w:t>
      </w:r>
      <w:r w:rsidR="00F118EA">
        <w:t>are</w:t>
      </w:r>
      <w:r w:rsidR="008606F6">
        <w:t>:</w:t>
      </w:r>
    </w:p>
    <w:p w:rsidR="00B56F1E" w:rsidRPr="00F118EA" w:rsidRDefault="00B56F1E" w:rsidP="00F118EA">
      <w:pPr>
        <w:spacing w:before="0" w:after="0"/>
        <w:jc w:val="both"/>
      </w:pPr>
    </w:p>
    <w:p w:rsidR="008606F6" w:rsidRPr="00717FFC" w:rsidRDefault="008606F6" w:rsidP="00F118EA">
      <w:pPr>
        <w:pStyle w:val="AFMANumberedlist"/>
        <w:numPr>
          <w:ilvl w:val="0"/>
          <w:numId w:val="27"/>
        </w:numPr>
        <w:spacing w:before="0" w:after="0"/>
        <w:rPr>
          <w:rFonts w:cs="Arial"/>
          <w:color w:val="auto"/>
          <w:u w:val="single"/>
        </w:rPr>
      </w:pPr>
      <w:r w:rsidRPr="00717FFC">
        <w:rPr>
          <w:rFonts w:cs="Arial"/>
          <w:color w:val="auto"/>
          <w:u w:val="single"/>
        </w:rPr>
        <w:t>Errors in catch reporting</w:t>
      </w:r>
    </w:p>
    <w:p w:rsidR="00EF4643" w:rsidRDefault="0045237F" w:rsidP="00F118EA">
      <w:pPr>
        <w:pStyle w:val="AFMANumberedlist"/>
        <w:numPr>
          <w:ilvl w:val="0"/>
          <w:numId w:val="0"/>
        </w:numPr>
        <w:spacing w:before="0" w:after="0"/>
        <w:ind w:left="360"/>
        <w:rPr>
          <w:rFonts w:cs="Arial"/>
          <w:color w:val="auto"/>
        </w:rPr>
      </w:pPr>
      <w:r>
        <w:t>Members noted p</w:t>
      </w:r>
      <w:r w:rsidR="008606F6">
        <w:t>ossible sources of error include underreport</w:t>
      </w:r>
      <w:r w:rsidR="00EF4643">
        <w:t>ed catch</w:t>
      </w:r>
      <w:r w:rsidR="00550C9D">
        <w:t xml:space="preserve"> (both in Australia and PNG), </w:t>
      </w:r>
      <w:r w:rsidR="008606F6">
        <w:t>dis</w:t>
      </w:r>
      <w:r w:rsidR="00550C9D">
        <w:t>cards</w:t>
      </w:r>
      <w:r w:rsidR="00EF4643">
        <w:t>,</w:t>
      </w:r>
      <w:r w:rsidR="00550C9D">
        <w:t xml:space="preserve"> and yet </w:t>
      </w:r>
      <w:r w:rsidR="00F118EA">
        <w:t xml:space="preserve">to be submitted catch reports. </w:t>
      </w:r>
      <w:r w:rsidR="00550C9D">
        <w:t xml:space="preserve">Underestimates of catch can lead </w:t>
      </w:r>
      <w:r w:rsidR="009F6A0E">
        <w:t xml:space="preserve">to </w:t>
      </w:r>
      <w:r w:rsidR="00550C9D">
        <w:t>an overly conservative prediction of abundance.</w:t>
      </w:r>
      <w:r w:rsidR="00EF4643">
        <w:rPr>
          <w:rFonts w:cs="Arial"/>
          <w:color w:val="auto"/>
        </w:rPr>
        <w:t xml:space="preserve"> </w:t>
      </w:r>
    </w:p>
    <w:p w:rsidR="00EF4643" w:rsidRDefault="00EF4643" w:rsidP="00F118EA">
      <w:pPr>
        <w:pStyle w:val="AFMANumberedlist"/>
        <w:numPr>
          <w:ilvl w:val="0"/>
          <w:numId w:val="0"/>
        </w:numPr>
        <w:spacing w:before="0" w:after="0"/>
        <w:ind w:left="360"/>
        <w:rPr>
          <w:rFonts w:cs="Arial"/>
          <w:color w:val="auto"/>
        </w:rPr>
      </w:pPr>
    </w:p>
    <w:p w:rsidR="00550C9D" w:rsidRDefault="00550C9D" w:rsidP="00F118EA">
      <w:pPr>
        <w:pStyle w:val="AFMANumberedlist"/>
        <w:numPr>
          <w:ilvl w:val="0"/>
          <w:numId w:val="0"/>
        </w:numPr>
        <w:spacing w:before="0" w:after="0"/>
        <w:ind w:left="360"/>
        <w:rPr>
          <w:rFonts w:cs="Arial"/>
          <w:color w:val="auto"/>
        </w:rPr>
      </w:pPr>
      <w:r w:rsidRPr="00F118EA">
        <w:rPr>
          <w:rFonts w:cs="Arial"/>
          <w:color w:val="auto"/>
        </w:rPr>
        <w:t>Industry members and observers advised however that the reported catch levels appear reasonably accurate based on their commercial knowledge of the fishery.</w:t>
      </w:r>
      <w:r w:rsidR="009F6A0E" w:rsidRPr="00F118EA">
        <w:rPr>
          <w:rFonts w:cs="Arial"/>
          <w:color w:val="auto"/>
        </w:rPr>
        <w:t xml:space="preserve"> AFMA confirmed that all catch reports received for the 2014/15 fishing season had been entered into its database and </w:t>
      </w:r>
      <w:r w:rsidR="00072566" w:rsidRPr="00F118EA">
        <w:rPr>
          <w:rFonts w:cs="Arial"/>
          <w:color w:val="auto"/>
        </w:rPr>
        <w:t xml:space="preserve">that it </w:t>
      </w:r>
      <w:r w:rsidR="009F6A0E" w:rsidRPr="00F118EA">
        <w:rPr>
          <w:rFonts w:cs="Arial"/>
          <w:color w:val="auto"/>
        </w:rPr>
        <w:t>is not aware of outstanding catch returns.</w:t>
      </w:r>
    </w:p>
    <w:p w:rsidR="00B30DF0" w:rsidRDefault="00B30DF0" w:rsidP="00F118EA">
      <w:pPr>
        <w:pStyle w:val="AFMANumberedlist"/>
        <w:numPr>
          <w:ilvl w:val="0"/>
          <w:numId w:val="0"/>
        </w:numPr>
        <w:spacing w:before="0" w:after="0"/>
        <w:ind w:left="360"/>
        <w:rPr>
          <w:rFonts w:cs="Arial"/>
          <w:color w:val="auto"/>
        </w:rPr>
      </w:pPr>
    </w:p>
    <w:p w:rsidR="00B30DF0" w:rsidRPr="00F118EA" w:rsidRDefault="00B30DF0" w:rsidP="00F118EA">
      <w:pPr>
        <w:pStyle w:val="AFMANumberedlist"/>
        <w:numPr>
          <w:ilvl w:val="0"/>
          <w:numId w:val="0"/>
        </w:numPr>
        <w:spacing w:before="0" w:after="0"/>
        <w:ind w:left="360"/>
        <w:rPr>
          <w:rFonts w:cs="Arial"/>
          <w:color w:val="auto"/>
        </w:rPr>
      </w:pPr>
      <w:r>
        <w:rPr>
          <w:rFonts w:cs="Arial"/>
        </w:rPr>
        <w:t>Scientific members noted that annual catches have historically only been confirmed at the subsequent year’s TRLRAG (often held on August the following year). This results in the Australian and PNG records being updated; hence the 2015 catch estimate may be lower than the actual catch.</w:t>
      </w:r>
    </w:p>
    <w:p w:rsidR="00550C9D" w:rsidRPr="00F118EA" w:rsidRDefault="00550C9D" w:rsidP="00F118EA">
      <w:pPr>
        <w:pStyle w:val="AFMANumberedlist"/>
        <w:numPr>
          <w:ilvl w:val="0"/>
          <w:numId w:val="0"/>
        </w:numPr>
        <w:spacing w:before="0" w:after="0"/>
        <w:ind w:left="360"/>
        <w:rPr>
          <w:rFonts w:cs="Arial"/>
          <w:color w:val="auto"/>
        </w:rPr>
      </w:pPr>
    </w:p>
    <w:p w:rsidR="00550C9D" w:rsidRPr="00717FFC" w:rsidRDefault="00550C9D" w:rsidP="00F118EA">
      <w:pPr>
        <w:pStyle w:val="AFMANumberedlist"/>
        <w:numPr>
          <w:ilvl w:val="0"/>
          <w:numId w:val="27"/>
        </w:numPr>
        <w:spacing w:before="0" w:after="0"/>
        <w:rPr>
          <w:rFonts w:cs="Arial"/>
          <w:color w:val="auto"/>
          <w:u w:val="single"/>
        </w:rPr>
      </w:pPr>
      <w:r w:rsidRPr="00717FFC">
        <w:rPr>
          <w:rFonts w:cs="Arial"/>
          <w:color w:val="auto"/>
          <w:u w:val="single"/>
        </w:rPr>
        <w:t>Model and analysis errors</w:t>
      </w:r>
    </w:p>
    <w:p w:rsidR="009259E1" w:rsidRDefault="0045237F" w:rsidP="00F118EA">
      <w:pPr>
        <w:pStyle w:val="AFMANumberedlist"/>
        <w:numPr>
          <w:ilvl w:val="0"/>
          <w:numId w:val="0"/>
        </w:numPr>
        <w:spacing w:before="0" w:after="0"/>
        <w:ind w:left="360"/>
        <w:rPr>
          <w:rFonts w:cs="Arial"/>
          <w:color w:val="auto"/>
        </w:rPr>
      </w:pPr>
      <w:r w:rsidRPr="00F118EA">
        <w:rPr>
          <w:rFonts w:cs="Arial"/>
          <w:color w:val="auto"/>
        </w:rPr>
        <w:t xml:space="preserve">Members noted that </w:t>
      </w:r>
      <w:r w:rsidR="00B469C0" w:rsidRPr="00F118EA">
        <w:rPr>
          <w:rFonts w:cs="Arial"/>
          <w:color w:val="auto"/>
        </w:rPr>
        <w:t xml:space="preserve">while </w:t>
      </w:r>
      <w:r w:rsidRPr="00F118EA">
        <w:rPr>
          <w:rFonts w:cs="Arial"/>
          <w:color w:val="auto"/>
        </w:rPr>
        <w:t>f</w:t>
      </w:r>
      <w:r w:rsidR="00550C9D" w:rsidRPr="00F118EA">
        <w:rPr>
          <w:rFonts w:cs="Arial"/>
          <w:color w:val="auto"/>
        </w:rPr>
        <w:t xml:space="preserve">urther work by CSIRO is required to examine </w:t>
      </w:r>
      <w:r w:rsidR="009259E1" w:rsidRPr="00F118EA">
        <w:rPr>
          <w:rFonts w:cs="Arial"/>
          <w:color w:val="auto"/>
        </w:rPr>
        <w:t>ways in which the model</w:t>
      </w:r>
      <w:r w:rsidR="00EF4643">
        <w:rPr>
          <w:rFonts w:cs="Arial"/>
          <w:color w:val="auto"/>
        </w:rPr>
        <w:t>’s</w:t>
      </w:r>
      <w:r w:rsidR="009259E1" w:rsidRPr="00F118EA">
        <w:rPr>
          <w:rFonts w:cs="Arial"/>
          <w:color w:val="auto"/>
        </w:rPr>
        <w:t xml:space="preserve"> predictive ability could be improved:</w:t>
      </w:r>
    </w:p>
    <w:p w:rsidR="00680FAE" w:rsidRPr="00F118EA" w:rsidRDefault="00680FAE" w:rsidP="00F118EA">
      <w:pPr>
        <w:pStyle w:val="AFMANumberedlist"/>
        <w:numPr>
          <w:ilvl w:val="0"/>
          <w:numId w:val="0"/>
        </w:numPr>
        <w:spacing w:before="0" w:after="0"/>
        <w:ind w:left="360"/>
        <w:rPr>
          <w:rFonts w:cs="Arial"/>
          <w:color w:val="auto"/>
        </w:rPr>
      </w:pPr>
    </w:p>
    <w:p w:rsidR="00550C9D" w:rsidRDefault="00634690" w:rsidP="00B56F1E">
      <w:pPr>
        <w:pStyle w:val="AFMANumberedlist"/>
        <w:numPr>
          <w:ilvl w:val="0"/>
          <w:numId w:val="28"/>
        </w:numPr>
        <w:spacing w:before="0" w:after="0"/>
        <w:rPr>
          <w:rFonts w:cs="Arial"/>
          <w:color w:val="auto"/>
        </w:rPr>
      </w:pPr>
      <w:r w:rsidRPr="00F118EA">
        <w:rPr>
          <w:rFonts w:cs="Arial"/>
          <w:color w:val="auto"/>
        </w:rPr>
        <w:t xml:space="preserve">for a highly variable fishery </w:t>
      </w:r>
      <w:r w:rsidR="00F118EA">
        <w:rPr>
          <w:rFonts w:cs="Arial"/>
          <w:color w:val="auto"/>
        </w:rPr>
        <w:t xml:space="preserve">(due to the species life-history characteristics) </w:t>
      </w:r>
      <w:r w:rsidR="009259E1" w:rsidRPr="00F118EA">
        <w:rPr>
          <w:rFonts w:cs="Arial"/>
          <w:color w:val="auto"/>
        </w:rPr>
        <w:t xml:space="preserve">there is </w:t>
      </w:r>
      <w:r w:rsidRPr="00F118EA">
        <w:rPr>
          <w:rFonts w:cs="Arial"/>
          <w:color w:val="auto"/>
        </w:rPr>
        <w:t xml:space="preserve">generally </w:t>
      </w:r>
      <w:r w:rsidR="009259E1" w:rsidRPr="00F118EA">
        <w:rPr>
          <w:rFonts w:cs="Arial"/>
          <w:color w:val="auto"/>
        </w:rPr>
        <w:t>a good relationship between the model predictions and the mid</w:t>
      </w:r>
      <w:r w:rsidR="00F118EA">
        <w:rPr>
          <w:rFonts w:cs="Arial"/>
          <w:color w:val="auto"/>
        </w:rPr>
        <w:t>-season</w:t>
      </w:r>
      <w:r w:rsidR="009259E1" w:rsidRPr="00F118EA">
        <w:rPr>
          <w:rFonts w:cs="Arial"/>
          <w:color w:val="auto"/>
        </w:rPr>
        <w:t xml:space="preserve"> and pre-season surveys and catch; and</w:t>
      </w:r>
    </w:p>
    <w:p w:rsidR="00680FAE" w:rsidRPr="00F118EA" w:rsidRDefault="00680FAE" w:rsidP="00680FAE">
      <w:pPr>
        <w:pStyle w:val="AFMANumberedlist"/>
        <w:numPr>
          <w:ilvl w:val="0"/>
          <w:numId w:val="0"/>
        </w:numPr>
        <w:spacing w:before="0" w:after="0"/>
        <w:ind w:left="720"/>
        <w:rPr>
          <w:rFonts w:cs="Arial"/>
          <w:color w:val="auto"/>
        </w:rPr>
      </w:pPr>
    </w:p>
    <w:p w:rsidR="009259E1" w:rsidRPr="00F118EA" w:rsidRDefault="00EF4643" w:rsidP="00B56F1E">
      <w:pPr>
        <w:pStyle w:val="AFMANumberedlist"/>
        <w:numPr>
          <w:ilvl w:val="0"/>
          <w:numId w:val="28"/>
        </w:numPr>
        <w:spacing w:before="0" w:after="0"/>
        <w:rPr>
          <w:rFonts w:cs="Arial"/>
          <w:color w:val="auto"/>
        </w:rPr>
      </w:pPr>
      <w:r>
        <w:rPr>
          <w:rFonts w:cs="Arial"/>
          <w:color w:val="auto"/>
        </w:rPr>
        <w:t xml:space="preserve">low </w:t>
      </w:r>
      <w:r w:rsidR="009259E1" w:rsidRPr="00F118EA">
        <w:rPr>
          <w:rFonts w:cs="Arial"/>
          <w:color w:val="auto"/>
        </w:rPr>
        <w:t xml:space="preserve">2015 </w:t>
      </w:r>
      <w:r>
        <w:rPr>
          <w:rFonts w:cs="Arial"/>
          <w:color w:val="auto"/>
        </w:rPr>
        <w:t xml:space="preserve">catches </w:t>
      </w:r>
      <w:r w:rsidR="009259E1" w:rsidRPr="00F118EA">
        <w:rPr>
          <w:rFonts w:cs="Arial"/>
          <w:color w:val="auto"/>
        </w:rPr>
        <w:t xml:space="preserve">could be an anomalous event noting the catches were outside of the 90 percent confidence limits of </w:t>
      </w:r>
      <w:r w:rsidR="009F6A0E" w:rsidRPr="00F118EA">
        <w:rPr>
          <w:rFonts w:cs="Arial"/>
          <w:color w:val="auto"/>
        </w:rPr>
        <w:t>the TAC recommendation:</w:t>
      </w:r>
      <w:r w:rsidR="009259E1" w:rsidRPr="00F118EA">
        <w:rPr>
          <w:rFonts w:cs="Arial"/>
          <w:color w:val="auto"/>
        </w:rPr>
        <w:t xml:space="preserve"> 538t-1000t (total recorded global catch was 495t).</w:t>
      </w:r>
    </w:p>
    <w:p w:rsidR="00B469C0" w:rsidRPr="00F118EA" w:rsidRDefault="00B469C0" w:rsidP="00B56F1E">
      <w:pPr>
        <w:pStyle w:val="AFMANumberedlist"/>
        <w:numPr>
          <w:ilvl w:val="0"/>
          <w:numId w:val="0"/>
        </w:numPr>
        <w:spacing w:before="0" w:after="0"/>
        <w:ind w:left="360"/>
        <w:rPr>
          <w:rFonts w:cs="Arial"/>
          <w:color w:val="auto"/>
        </w:rPr>
      </w:pPr>
    </w:p>
    <w:p w:rsidR="009259E1" w:rsidRPr="00717FFC" w:rsidRDefault="009259E1" w:rsidP="00B56F1E">
      <w:pPr>
        <w:pStyle w:val="AFMANumberedlist"/>
        <w:numPr>
          <w:ilvl w:val="0"/>
          <w:numId w:val="27"/>
        </w:numPr>
        <w:spacing w:before="0" w:after="0"/>
        <w:rPr>
          <w:rFonts w:cs="Arial"/>
          <w:color w:val="auto"/>
          <w:u w:val="single"/>
        </w:rPr>
      </w:pPr>
      <w:r w:rsidRPr="00717FFC">
        <w:rPr>
          <w:rFonts w:cs="Arial"/>
          <w:color w:val="auto"/>
          <w:u w:val="single"/>
        </w:rPr>
        <w:t>Habitat changes influencing catchability and possibly survival</w:t>
      </w:r>
    </w:p>
    <w:p w:rsidR="00723209" w:rsidRPr="0064381F" w:rsidRDefault="0045237F" w:rsidP="00B56F1E">
      <w:pPr>
        <w:pStyle w:val="AFMANumberedlist"/>
        <w:numPr>
          <w:ilvl w:val="0"/>
          <w:numId w:val="0"/>
        </w:numPr>
        <w:spacing w:before="0" w:after="0"/>
        <w:ind w:left="360"/>
        <w:rPr>
          <w:rFonts w:cs="Arial"/>
          <w:color w:val="auto"/>
        </w:rPr>
      </w:pPr>
      <w:r w:rsidRPr="00F118EA">
        <w:rPr>
          <w:rFonts w:cs="Arial"/>
          <w:color w:val="auto"/>
        </w:rPr>
        <w:t>Member</w:t>
      </w:r>
      <w:r w:rsidR="00D9736E" w:rsidRPr="00F118EA">
        <w:rPr>
          <w:rFonts w:cs="Arial"/>
          <w:color w:val="auto"/>
        </w:rPr>
        <w:t>s</w:t>
      </w:r>
      <w:r w:rsidRPr="00F118EA">
        <w:rPr>
          <w:rFonts w:cs="Arial"/>
          <w:color w:val="auto"/>
        </w:rPr>
        <w:t xml:space="preserve"> noted </w:t>
      </w:r>
      <w:r w:rsidR="00D9736E" w:rsidRPr="00F118EA">
        <w:rPr>
          <w:rFonts w:cs="Arial"/>
          <w:color w:val="auto"/>
        </w:rPr>
        <w:t>that</w:t>
      </w:r>
      <w:r w:rsidR="00723209" w:rsidRPr="00F118EA">
        <w:rPr>
          <w:rFonts w:cs="Arial"/>
          <w:color w:val="auto"/>
        </w:rPr>
        <w:t xml:space="preserve"> environmental </w:t>
      </w:r>
      <w:r w:rsidR="00EF4643">
        <w:rPr>
          <w:rFonts w:cs="Arial"/>
          <w:color w:val="auto"/>
        </w:rPr>
        <w:t>factors</w:t>
      </w:r>
      <w:r w:rsidR="00EF4643" w:rsidRPr="00F118EA">
        <w:rPr>
          <w:rFonts w:cs="Arial"/>
          <w:color w:val="auto"/>
        </w:rPr>
        <w:t xml:space="preserve"> </w:t>
      </w:r>
      <w:r w:rsidR="00723209" w:rsidRPr="00F118EA">
        <w:rPr>
          <w:rFonts w:cs="Arial"/>
          <w:color w:val="auto"/>
        </w:rPr>
        <w:t>may have impacted the catchability and possibly the survival of TRL d</w:t>
      </w:r>
      <w:r w:rsidR="00D9736E" w:rsidRPr="00F118EA">
        <w:rPr>
          <w:rFonts w:cs="Arial"/>
          <w:color w:val="auto"/>
        </w:rPr>
        <w:t xml:space="preserve">uring the 2015 fishing season but </w:t>
      </w:r>
      <w:r w:rsidR="00EF4643">
        <w:rPr>
          <w:rFonts w:cs="Arial"/>
          <w:color w:val="auto"/>
        </w:rPr>
        <w:t xml:space="preserve">understood </w:t>
      </w:r>
      <w:r w:rsidR="00D9736E" w:rsidRPr="00F118EA">
        <w:rPr>
          <w:rFonts w:cs="Arial"/>
          <w:color w:val="auto"/>
        </w:rPr>
        <w:t>that it</w:t>
      </w:r>
      <w:r w:rsidR="00723209" w:rsidRPr="00F118EA">
        <w:rPr>
          <w:rFonts w:cs="Arial"/>
          <w:color w:val="auto"/>
        </w:rPr>
        <w:t xml:space="preserve"> is difficult </w:t>
      </w:r>
      <w:r w:rsidR="00723209" w:rsidRPr="00F118EA">
        <w:rPr>
          <w:rFonts w:cs="Arial"/>
          <w:color w:val="auto"/>
        </w:rPr>
        <w:lastRenderedPageBreak/>
        <w:t xml:space="preserve">to </w:t>
      </w:r>
      <w:r w:rsidR="00D9736E" w:rsidRPr="00F118EA">
        <w:rPr>
          <w:rFonts w:cs="Arial"/>
          <w:color w:val="auto"/>
        </w:rPr>
        <w:t xml:space="preserve">discern </w:t>
      </w:r>
      <w:r w:rsidR="00D9736E" w:rsidRPr="0064381F">
        <w:rPr>
          <w:rFonts w:cs="Arial"/>
          <w:color w:val="auto"/>
        </w:rPr>
        <w:t xml:space="preserve">the </w:t>
      </w:r>
      <w:r w:rsidR="00301500" w:rsidRPr="0064381F">
        <w:rPr>
          <w:rFonts w:cs="Arial"/>
          <w:color w:val="auto"/>
        </w:rPr>
        <w:t>level if any, of those</w:t>
      </w:r>
      <w:r w:rsidR="00D9736E" w:rsidRPr="0064381F">
        <w:rPr>
          <w:rFonts w:cs="Arial"/>
          <w:color w:val="auto"/>
        </w:rPr>
        <w:t xml:space="preserve"> impacts. Potential environmental drivers which are not necessarily mutually exclusive include:</w:t>
      </w:r>
    </w:p>
    <w:p w:rsidR="00B56F1E" w:rsidRPr="0064381F" w:rsidRDefault="00B56F1E" w:rsidP="00B56F1E">
      <w:pPr>
        <w:pStyle w:val="AFMANumberedlist"/>
        <w:numPr>
          <w:ilvl w:val="0"/>
          <w:numId w:val="0"/>
        </w:numPr>
        <w:spacing w:before="0" w:after="0"/>
        <w:ind w:left="360"/>
        <w:rPr>
          <w:rFonts w:cs="Arial"/>
          <w:color w:val="auto"/>
        </w:rPr>
      </w:pPr>
    </w:p>
    <w:p w:rsidR="00D9736E" w:rsidRPr="0064381F" w:rsidRDefault="0045237F" w:rsidP="00B56F1E">
      <w:pPr>
        <w:pStyle w:val="AFMANumberedlist"/>
        <w:numPr>
          <w:ilvl w:val="0"/>
          <w:numId w:val="29"/>
        </w:numPr>
        <w:spacing w:before="0" w:after="0"/>
        <w:rPr>
          <w:rFonts w:cs="Arial"/>
          <w:color w:val="auto"/>
        </w:rPr>
      </w:pPr>
      <w:r w:rsidRPr="0064381F">
        <w:rPr>
          <w:rFonts w:cs="Arial"/>
          <w:color w:val="auto"/>
        </w:rPr>
        <w:t>significant sand incursions over the fishing grounds</w:t>
      </w:r>
      <w:r w:rsidR="00EF4643">
        <w:rPr>
          <w:rFonts w:cs="Arial"/>
          <w:color w:val="auto"/>
        </w:rPr>
        <w:t>, that</w:t>
      </w:r>
      <w:r w:rsidRPr="0064381F">
        <w:rPr>
          <w:rFonts w:cs="Arial"/>
          <w:color w:val="auto"/>
        </w:rPr>
        <w:t xml:space="preserve"> have been reported</w:t>
      </w:r>
      <w:r w:rsidR="005D339B" w:rsidRPr="0064381F">
        <w:rPr>
          <w:rFonts w:cs="Arial"/>
          <w:color w:val="auto"/>
        </w:rPr>
        <w:t xml:space="preserve"> by</w:t>
      </w:r>
      <w:r w:rsidRPr="0064381F">
        <w:rPr>
          <w:rFonts w:cs="Arial"/>
          <w:color w:val="auto"/>
        </w:rPr>
        <w:t xml:space="preserve"> industry and </w:t>
      </w:r>
      <w:r w:rsidR="00EF4643">
        <w:rPr>
          <w:rFonts w:cs="Arial"/>
          <w:color w:val="auto"/>
        </w:rPr>
        <w:t>observed</w:t>
      </w:r>
      <w:r w:rsidRPr="0064381F">
        <w:rPr>
          <w:rFonts w:cs="Arial"/>
          <w:color w:val="auto"/>
        </w:rPr>
        <w:t xml:space="preserve"> during the pre-season survey</w:t>
      </w:r>
      <w:r w:rsidR="00D9736E" w:rsidRPr="0064381F">
        <w:rPr>
          <w:rFonts w:cs="Arial"/>
          <w:color w:val="auto"/>
        </w:rPr>
        <w:t>;</w:t>
      </w:r>
    </w:p>
    <w:p w:rsidR="00B56F1E" w:rsidRPr="0064381F" w:rsidRDefault="00B56F1E" w:rsidP="00B56F1E">
      <w:pPr>
        <w:pStyle w:val="AFMANumberedlist"/>
        <w:numPr>
          <w:ilvl w:val="0"/>
          <w:numId w:val="0"/>
        </w:numPr>
        <w:spacing w:before="0" w:after="0"/>
        <w:ind w:left="360"/>
        <w:rPr>
          <w:rFonts w:cs="Arial"/>
          <w:color w:val="auto"/>
        </w:rPr>
      </w:pPr>
    </w:p>
    <w:p w:rsidR="009259E1" w:rsidRPr="0064381F" w:rsidRDefault="00D9736E" w:rsidP="00B56F1E">
      <w:pPr>
        <w:pStyle w:val="AFMANumberedlist"/>
        <w:numPr>
          <w:ilvl w:val="0"/>
          <w:numId w:val="29"/>
        </w:numPr>
        <w:spacing w:before="0" w:after="0"/>
        <w:rPr>
          <w:rFonts w:cs="Arial"/>
          <w:color w:val="auto"/>
        </w:rPr>
      </w:pPr>
      <w:r w:rsidRPr="0064381F">
        <w:rPr>
          <w:rFonts w:cs="Arial"/>
          <w:color w:val="auto"/>
        </w:rPr>
        <w:t xml:space="preserve">the current </w:t>
      </w:r>
      <w:r w:rsidR="0005224E" w:rsidRPr="0064381F">
        <w:rPr>
          <w:rFonts w:cs="Arial"/>
          <w:i/>
          <w:color w:val="auto"/>
        </w:rPr>
        <w:t>El Niño</w:t>
      </w:r>
      <w:r w:rsidR="0005224E" w:rsidRPr="0064381F">
        <w:rPr>
          <w:rFonts w:cs="Arial"/>
          <w:color w:val="auto"/>
        </w:rPr>
        <w:t xml:space="preserve"> </w:t>
      </w:r>
      <w:r w:rsidR="00AD55BF">
        <w:rPr>
          <w:rFonts w:cs="Arial"/>
          <w:color w:val="auto"/>
        </w:rPr>
        <w:t xml:space="preserve">which </w:t>
      </w:r>
      <w:r w:rsidRPr="0064381F">
        <w:rPr>
          <w:rFonts w:cs="Arial"/>
          <w:color w:val="auto"/>
        </w:rPr>
        <w:t xml:space="preserve">is </w:t>
      </w:r>
      <w:r w:rsidR="00717FFC">
        <w:rPr>
          <w:rFonts w:cs="Arial"/>
          <w:color w:val="auto"/>
        </w:rPr>
        <w:t xml:space="preserve">a </w:t>
      </w:r>
      <w:r w:rsidR="0064381F" w:rsidRPr="0064381F">
        <w:rPr>
          <w:rFonts w:cs="Arial"/>
          <w:color w:val="auto"/>
        </w:rPr>
        <w:t xml:space="preserve">1:50 year event. </w:t>
      </w:r>
      <w:r w:rsidRPr="0064381F">
        <w:rPr>
          <w:rFonts w:cs="Arial"/>
          <w:color w:val="auto"/>
        </w:rPr>
        <w:t xml:space="preserve">Although the effects of </w:t>
      </w:r>
      <w:r w:rsidR="0005224E" w:rsidRPr="0064381F">
        <w:rPr>
          <w:rFonts w:cs="Arial"/>
          <w:i/>
          <w:color w:val="auto"/>
        </w:rPr>
        <w:t>El N</w:t>
      </w:r>
      <w:r w:rsidR="0064381F" w:rsidRPr="0064381F">
        <w:rPr>
          <w:rFonts w:cs="Arial"/>
          <w:i/>
          <w:color w:val="auto"/>
        </w:rPr>
        <w:t>i</w:t>
      </w:r>
      <w:r w:rsidR="0005224E" w:rsidRPr="0064381F">
        <w:rPr>
          <w:rFonts w:cs="Arial"/>
          <w:i/>
          <w:color w:val="auto"/>
        </w:rPr>
        <w:t xml:space="preserve">ño’s </w:t>
      </w:r>
      <w:r w:rsidRPr="0064381F">
        <w:rPr>
          <w:rFonts w:cs="Arial"/>
          <w:color w:val="auto"/>
        </w:rPr>
        <w:t xml:space="preserve">are variable they may include increased water temperature and </w:t>
      </w:r>
      <w:r w:rsidR="00AD55BF">
        <w:rPr>
          <w:rFonts w:cs="Arial"/>
          <w:color w:val="auto"/>
        </w:rPr>
        <w:t xml:space="preserve">ocean </w:t>
      </w:r>
      <w:r w:rsidRPr="0064381F">
        <w:rPr>
          <w:rFonts w:cs="Arial"/>
          <w:color w:val="auto"/>
        </w:rPr>
        <w:t>height. These changes can lead to changes in waters currents which in turn</w:t>
      </w:r>
      <w:r w:rsidR="00301500" w:rsidRPr="0064381F">
        <w:rPr>
          <w:rFonts w:cs="Arial"/>
          <w:color w:val="auto"/>
        </w:rPr>
        <w:t>,</w:t>
      </w:r>
      <w:r w:rsidRPr="0064381F">
        <w:rPr>
          <w:rFonts w:cs="Arial"/>
          <w:color w:val="auto"/>
        </w:rPr>
        <w:t xml:space="preserve"> </w:t>
      </w:r>
      <w:r w:rsidR="00AD55BF">
        <w:rPr>
          <w:rFonts w:cs="Arial"/>
          <w:color w:val="auto"/>
        </w:rPr>
        <w:t xml:space="preserve">can impact life-history traits or </w:t>
      </w:r>
      <w:r w:rsidRPr="0064381F">
        <w:rPr>
          <w:rFonts w:cs="Arial"/>
          <w:color w:val="auto"/>
        </w:rPr>
        <w:t xml:space="preserve">could explain </w:t>
      </w:r>
      <w:r w:rsidR="0064381F" w:rsidRPr="0064381F">
        <w:rPr>
          <w:rFonts w:cs="Arial"/>
          <w:color w:val="auto"/>
        </w:rPr>
        <w:t>the</w:t>
      </w:r>
      <w:r w:rsidR="00301500" w:rsidRPr="0064381F">
        <w:rPr>
          <w:rFonts w:cs="Arial"/>
          <w:color w:val="auto"/>
        </w:rPr>
        <w:t xml:space="preserve"> </w:t>
      </w:r>
      <w:r w:rsidRPr="0064381F">
        <w:rPr>
          <w:rFonts w:cs="Arial"/>
          <w:color w:val="auto"/>
        </w:rPr>
        <w:t xml:space="preserve">sand incursions. </w:t>
      </w:r>
    </w:p>
    <w:p w:rsidR="00B56F1E" w:rsidRPr="0064381F" w:rsidRDefault="00B56F1E" w:rsidP="00642881">
      <w:pPr>
        <w:pStyle w:val="AFMANumberedlist"/>
        <w:numPr>
          <w:ilvl w:val="0"/>
          <w:numId w:val="0"/>
        </w:numPr>
        <w:spacing w:before="0" w:after="0"/>
        <w:ind w:left="717" w:hanging="357"/>
        <w:rPr>
          <w:rFonts w:cs="Arial"/>
          <w:color w:val="auto"/>
        </w:rPr>
      </w:pPr>
    </w:p>
    <w:p w:rsidR="00634690" w:rsidRPr="0064381F" w:rsidRDefault="000C3C2E" w:rsidP="00B56F1E">
      <w:pPr>
        <w:pStyle w:val="AFMANumberedlist"/>
        <w:numPr>
          <w:ilvl w:val="0"/>
          <w:numId w:val="0"/>
        </w:numPr>
        <w:spacing w:before="0" w:after="0"/>
        <w:ind w:left="360"/>
        <w:rPr>
          <w:rFonts w:cs="Arial"/>
          <w:color w:val="auto"/>
        </w:rPr>
      </w:pPr>
      <w:r w:rsidRPr="0064381F">
        <w:rPr>
          <w:rFonts w:cs="Arial"/>
          <w:color w:val="auto"/>
        </w:rPr>
        <w:t>Some members observed that:</w:t>
      </w:r>
    </w:p>
    <w:p w:rsidR="00B30DF0" w:rsidRPr="0064381F" w:rsidRDefault="00301500" w:rsidP="00B30DF0">
      <w:pPr>
        <w:pStyle w:val="AFMANumberedlist"/>
        <w:numPr>
          <w:ilvl w:val="0"/>
          <w:numId w:val="31"/>
        </w:numPr>
        <w:spacing w:before="0" w:after="0"/>
        <w:ind w:left="714" w:hanging="357"/>
        <w:rPr>
          <w:rFonts w:cs="Arial"/>
          <w:color w:val="auto"/>
        </w:rPr>
      </w:pPr>
      <w:r w:rsidRPr="0064381F">
        <w:rPr>
          <w:rFonts w:cs="Arial"/>
          <w:color w:val="auto"/>
        </w:rPr>
        <w:t>1+ lobsters are relative</w:t>
      </w:r>
      <w:r w:rsidR="0005224E" w:rsidRPr="0064381F">
        <w:rPr>
          <w:rFonts w:cs="Arial"/>
          <w:color w:val="auto"/>
        </w:rPr>
        <w:t>ly</w:t>
      </w:r>
      <w:r w:rsidRPr="0064381F">
        <w:rPr>
          <w:rFonts w:cs="Arial"/>
          <w:color w:val="auto"/>
        </w:rPr>
        <w:t xml:space="preserve"> resilient animals capable of extensive migration and that </w:t>
      </w:r>
      <w:r w:rsidR="00FE47A3" w:rsidRPr="0064381F">
        <w:rPr>
          <w:rFonts w:cs="Arial"/>
          <w:color w:val="auto"/>
        </w:rPr>
        <w:t>it is un</w:t>
      </w:r>
      <w:r w:rsidRPr="0064381F">
        <w:rPr>
          <w:rFonts w:cs="Arial"/>
          <w:color w:val="auto"/>
        </w:rPr>
        <w:t xml:space="preserve">likely sand incursions would result in </w:t>
      </w:r>
      <w:r w:rsidR="0064381F" w:rsidRPr="0064381F">
        <w:rPr>
          <w:rFonts w:cs="Arial"/>
          <w:color w:val="auto"/>
        </w:rPr>
        <w:t>increased rates of mortality</w:t>
      </w:r>
      <w:r w:rsidR="0081236E" w:rsidRPr="0064381F">
        <w:rPr>
          <w:rFonts w:cs="Arial"/>
          <w:color w:val="auto"/>
        </w:rPr>
        <w:t xml:space="preserve"> (and therefore </w:t>
      </w:r>
      <w:r w:rsidR="0064381F" w:rsidRPr="0064381F">
        <w:rPr>
          <w:rFonts w:cs="Arial"/>
          <w:color w:val="auto"/>
        </w:rPr>
        <w:t xml:space="preserve">decreased </w:t>
      </w:r>
      <w:r w:rsidR="0081236E" w:rsidRPr="0064381F">
        <w:rPr>
          <w:rFonts w:cs="Arial"/>
          <w:color w:val="auto"/>
        </w:rPr>
        <w:t>abundance)</w:t>
      </w:r>
      <w:r w:rsidRPr="0064381F">
        <w:rPr>
          <w:rFonts w:cs="Arial"/>
          <w:color w:val="auto"/>
        </w:rPr>
        <w:t>. Instead</w:t>
      </w:r>
      <w:r w:rsidR="0081236E" w:rsidRPr="0064381F">
        <w:rPr>
          <w:rFonts w:cs="Arial"/>
          <w:color w:val="auto"/>
        </w:rPr>
        <w:t>,</w:t>
      </w:r>
      <w:r w:rsidRPr="0064381F">
        <w:rPr>
          <w:rFonts w:cs="Arial"/>
          <w:color w:val="auto"/>
        </w:rPr>
        <w:t xml:space="preserve"> </w:t>
      </w:r>
      <w:r w:rsidR="0081236E" w:rsidRPr="0064381F">
        <w:rPr>
          <w:rFonts w:cs="Arial"/>
          <w:color w:val="auto"/>
        </w:rPr>
        <w:t xml:space="preserve">1+ lobsters (those observed during the pre-season survey) </w:t>
      </w:r>
      <w:r w:rsidRPr="0064381F">
        <w:rPr>
          <w:rFonts w:cs="Arial"/>
          <w:color w:val="auto"/>
        </w:rPr>
        <w:t>are more likely to have migrated to new areas, in particular north into PNG waters.</w:t>
      </w:r>
      <w:r w:rsidR="00B30DF0" w:rsidRPr="00B30DF0">
        <w:rPr>
          <w:rFonts w:cs="Arial"/>
          <w:color w:val="auto"/>
        </w:rPr>
        <w:t xml:space="preserve"> </w:t>
      </w:r>
      <w:r w:rsidR="00B30DF0">
        <w:rPr>
          <w:rFonts w:cs="Arial"/>
          <w:color w:val="auto"/>
        </w:rPr>
        <w:t>One industry member provided some evidence for this stating number of small TRL at Boigu were reportedly high in 2015.</w:t>
      </w:r>
    </w:p>
    <w:p w:rsidR="00642881" w:rsidRPr="0064381F" w:rsidRDefault="00642881" w:rsidP="00642881">
      <w:pPr>
        <w:pStyle w:val="AFMANumberedlist"/>
        <w:numPr>
          <w:ilvl w:val="0"/>
          <w:numId w:val="0"/>
        </w:numPr>
        <w:spacing w:before="0" w:after="0"/>
        <w:ind w:left="720"/>
        <w:rPr>
          <w:rFonts w:cs="Arial"/>
          <w:color w:val="auto"/>
        </w:rPr>
      </w:pPr>
    </w:p>
    <w:p w:rsidR="00873971" w:rsidRPr="0064381F" w:rsidRDefault="000C3C2E" w:rsidP="00934EAD">
      <w:pPr>
        <w:pStyle w:val="AFMANumberedlist"/>
        <w:numPr>
          <w:ilvl w:val="0"/>
          <w:numId w:val="31"/>
        </w:numPr>
        <w:spacing w:before="0" w:after="0"/>
        <w:rPr>
          <w:rFonts w:cs="Arial"/>
          <w:color w:val="auto"/>
        </w:rPr>
      </w:pPr>
      <w:r w:rsidRPr="0064381F">
        <w:rPr>
          <w:color w:val="auto"/>
        </w:rPr>
        <w:t>reductions i</w:t>
      </w:r>
      <w:r w:rsidR="0064381F">
        <w:rPr>
          <w:color w:val="auto"/>
        </w:rPr>
        <w:t>n data collection including cancelling the 2016</w:t>
      </w:r>
      <w:r w:rsidRPr="0064381F">
        <w:rPr>
          <w:color w:val="auto"/>
        </w:rPr>
        <w:t xml:space="preserve"> mid-year survey and reducing the number of sites in the pre-season survey</w:t>
      </w:r>
      <w:r w:rsidR="00934EAD">
        <w:rPr>
          <w:color w:val="auto"/>
        </w:rPr>
        <w:t xml:space="preserve"> (from 130 to 78</w:t>
      </w:r>
      <w:r w:rsidR="0064381F">
        <w:rPr>
          <w:color w:val="auto"/>
        </w:rPr>
        <w:t xml:space="preserve">) </w:t>
      </w:r>
      <w:r w:rsidR="00873971" w:rsidRPr="0064381F">
        <w:rPr>
          <w:color w:val="auto"/>
        </w:rPr>
        <w:t xml:space="preserve">may </w:t>
      </w:r>
      <w:r w:rsidR="0064381F">
        <w:rPr>
          <w:color w:val="auto"/>
        </w:rPr>
        <w:t>result</w:t>
      </w:r>
      <w:r w:rsidRPr="0064381F">
        <w:rPr>
          <w:color w:val="auto"/>
        </w:rPr>
        <w:t xml:space="preserve"> in </w:t>
      </w:r>
      <w:r w:rsidR="0064381F">
        <w:rPr>
          <w:color w:val="auto"/>
        </w:rPr>
        <w:t>greater</w:t>
      </w:r>
      <w:r w:rsidRPr="0064381F">
        <w:rPr>
          <w:color w:val="auto"/>
        </w:rPr>
        <w:t xml:space="preserve"> </w:t>
      </w:r>
      <w:r w:rsidR="0064381F">
        <w:rPr>
          <w:color w:val="auto"/>
        </w:rPr>
        <w:t>un</w:t>
      </w:r>
      <w:r w:rsidRPr="0064381F">
        <w:rPr>
          <w:color w:val="auto"/>
        </w:rPr>
        <w:t>certainty in the stock assessment process. CSIRO advised that the survey sites are still considered representative</w:t>
      </w:r>
      <w:r w:rsidR="00934EAD" w:rsidRPr="00934EAD">
        <w:rPr>
          <w:color w:val="auto"/>
        </w:rPr>
        <w:t>, based on the close historical relationship between indices from the full pre-season surveys and the mid-year subset</w:t>
      </w:r>
      <w:r w:rsidRPr="0064381F">
        <w:rPr>
          <w:color w:val="auto"/>
        </w:rPr>
        <w:t>.</w:t>
      </w:r>
    </w:p>
    <w:p w:rsidR="0064381F" w:rsidRDefault="0064381F" w:rsidP="0064381F">
      <w:pPr>
        <w:pStyle w:val="ListParagraph"/>
        <w:spacing w:before="0" w:after="0"/>
        <w:rPr>
          <w:rFonts w:cs="Arial"/>
        </w:rPr>
      </w:pPr>
    </w:p>
    <w:p w:rsidR="00634690" w:rsidRDefault="000C3C2E" w:rsidP="0064381F">
      <w:pPr>
        <w:pStyle w:val="AFMANumberedlist"/>
        <w:numPr>
          <w:ilvl w:val="0"/>
          <w:numId w:val="31"/>
        </w:numPr>
        <w:spacing w:before="0" w:after="0"/>
        <w:ind w:left="714" w:hanging="357"/>
        <w:rPr>
          <w:rFonts w:cs="Arial"/>
          <w:color w:val="auto"/>
        </w:rPr>
      </w:pPr>
      <w:r w:rsidRPr="0064381F">
        <w:rPr>
          <w:rFonts w:cs="Arial"/>
          <w:color w:val="auto"/>
        </w:rPr>
        <w:t xml:space="preserve">the TRLRAG’s focus is </w:t>
      </w:r>
      <w:r w:rsidR="008C2635">
        <w:rPr>
          <w:rFonts w:cs="Arial"/>
          <w:color w:val="auto"/>
        </w:rPr>
        <w:t xml:space="preserve">to </w:t>
      </w:r>
      <w:r w:rsidRPr="0064381F">
        <w:rPr>
          <w:rFonts w:cs="Arial"/>
          <w:color w:val="auto"/>
        </w:rPr>
        <w:t>advis</w:t>
      </w:r>
      <w:r w:rsidR="008C2635">
        <w:rPr>
          <w:rFonts w:cs="Arial"/>
          <w:color w:val="auto"/>
        </w:rPr>
        <w:t>e</w:t>
      </w:r>
      <w:r w:rsidRPr="0064381F">
        <w:rPr>
          <w:rFonts w:cs="Arial"/>
          <w:color w:val="auto"/>
        </w:rPr>
        <w:t xml:space="preserve"> </w:t>
      </w:r>
      <w:r w:rsidR="008C2635">
        <w:rPr>
          <w:rFonts w:cs="Arial"/>
          <w:color w:val="auto"/>
        </w:rPr>
        <w:t xml:space="preserve">on the RBC and </w:t>
      </w:r>
      <w:r w:rsidRPr="0064381F">
        <w:rPr>
          <w:rFonts w:cs="Arial"/>
          <w:color w:val="auto"/>
        </w:rPr>
        <w:t>TAC</w:t>
      </w:r>
      <w:r w:rsidR="008C2635">
        <w:rPr>
          <w:rFonts w:cs="Arial"/>
          <w:color w:val="auto"/>
        </w:rPr>
        <w:t xml:space="preserve"> for each fishing season while ensuring the long-term sustainability of the stock. The RAG does not</w:t>
      </w:r>
      <w:r w:rsidRPr="0064381F">
        <w:rPr>
          <w:rFonts w:cs="Arial"/>
          <w:color w:val="auto"/>
        </w:rPr>
        <w:t xml:space="preserve"> </w:t>
      </w:r>
      <w:r w:rsidR="00AD55BF">
        <w:rPr>
          <w:rFonts w:cs="Arial"/>
          <w:color w:val="auto"/>
        </w:rPr>
        <w:t xml:space="preserve">have the data available to </w:t>
      </w:r>
      <w:r w:rsidR="008C2635">
        <w:rPr>
          <w:rFonts w:cs="Arial"/>
          <w:color w:val="auto"/>
        </w:rPr>
        <w:t>advise on the catchability of the stock for each fishing season</w:t>
      </w:r>
      <w:r w:rsidRPr="0064381F">
        <w:rPr>
          <w:rFonts w:cs="Arial"/>
          <w:color w:val="auto"/>
        </w:rPr>
        <w:t>.</w:t>
      </w:r>
    </w:p>
    <w:p w:rsidR="00B30DF0" w:rsidRDefault="00B30DF0" w:rsidP="00B30DF0">
      <w:pPr>
        <w:pStyle w:val="ListParagraph"/>
        <w:spacing w:before="0" w:after="0"/>
        <w:rPr>
          <w:rFonts w:cs="Arial"/>
        </w:rPr>
      </w:pPr>
    </w:p>
    <w:p w:rsidR="00B30DF0" w:rsidRDefault="00934EAD" w:rsidP="00B30DF0">
      <w:pPr>
        <w:pStyle w:val="AFMANumberedlist"/>
        <w:numPr>
          <w:ilvl w:val="0"/>
          <w:numId w:val="0"/>
        </w:numPr>
        <w:spacing w:before="0" w:after="0"/>
        <w:ind w:left="360"/>
        <w:rPr>
          <w:rFonts w:cs="Arial"/>
          <w:color w:val="auto"/>
        </w:rPr>
      </w:pPr>
      <w:r>
        <w:rPr>
          <w:rFonts w:cs="Arial"/>
          <w:color w:val="auto"/>
        </w:rPr>
        <w:t>One member suggested that:</w:t>
      </w:r>
    </w:p>
    <w:p w:rsidR="00934EAD" w:rsidRDefault="00934EAD" w:rsidP="00934EAD">
      <w:pPr>
        <w:pStyle w:val="AFMANumberedlist"/>
        <w:numPr>
          <w:ilvl w:val="0"/>
          <w:numId w:val="31"/>
        </w:numPr>
        <w:spacing w:before="0" w:after="0"/>
        <w:ind w:left="714" w:hanging="357"/>
        <w:rPr>
          <w:rFonts w:cs="Arial"/>
          <w:color w:val="auto"/>
        </w:rPr>
      </w:pPr>
      <w:r>
        <w:rPr>
          <w:rFonts w:cs="Arial"/>
          <w:color w:val="auto"/>
        </w:rPr>
        <w:t>sand incursions would have greater influence on recently-settled lobsters due to their site fidelity.</w:t>
      </w:r>
    </w:p>
    <w:p w:rsidR="00873971" w:rsidRPr="0064381F" w:rsidRDefault="00873971" w:rsidP="008C2635">
      <w:pPr>
        <w:pStyle w:val="AFMANumberedlist"/>
        <w:numPr>
          <w:ilvl w:val="0"/>
          <w:numId w:val="0"/>
        </w:numPr>
        <w:spacing w:before="0" w:after="0"/>
        <w:ind w:left="714"/>
        <w:rPr>
          <w:rFonts w:cstheme="minorBidi"/>
          <w:color w:val="auto"/>
          <w:spacing w:val="0"/>
        </w:rPr>
      </w:pPr>
    </w:p>
    <w:p w:rsidR="000C3C2E" w:rsidRDefault="00873971" w:rsidP="00B56F1E">
      <w:pPr>
        <w:pStyle w:val="AFMANumberedlist"/>
        <w:numPr>
          <w:ilvl w:val="0"/>
          <w:numId w:val="0"/>
        </w:numPr>
        <w:spacing w:before="0" w:after="0"/>
        <w:rPr>
          <w:rFonts w:cs="Arial"/>
          <w:color w:val="auto"/>
        </w:rPr>
      </w:pPr>
      <w:r w:rsidRPr="0064381F">
        <w:rPr>
          <w:rFonts w:cstheme="minorBidi"/>
          <w:color w:val="auto"/>
          <w:spacing w:val="0"/>
        </w:rPr>
        <w:t xml:space="preserve">The TRLRAG and </w:t>
      </w:r>
      <w:r w:rsidR="00151DF4" w:rsidRPr="0064381F">
        <w:rPr>
          <w:rFonts w:cstheme="minorBidi"/>
          <w:color w:val="auto"/>
          <w:spacing w:val="0"/>
        </w:rPr>
        <w:t>TRL</w:t>
      </w:r>
      <w:r w:rsidRPr="0064381F">
        <w:rPr>
          <w:rFonts w:cstheme="minorBidi"/>
          <w:color w:val="auto"/>
          <w:spacing w:val="0"/>
        </w:rPr>
        <w:t xml:space="preserve">WG agreed that </w:t>
      </w:r>
      <w:r w:rsidR="000C3C2E" w:rsidRPr="0064381F">
        <w:rPr>
          <w:rFonts w:cs="Arial"/>
          <w:color w:val="auto"/>
        </w:rPr>
        <w:t>improved CPUE data</w:t>
      </w:r>
      <w:r w:rsidR="008C2635">
        <w:rPr>
          <w:rFonts w:cs="Arial"/>
          <w:color w:val="auto"/>
        </w:rPr>
        <w:t xml:space="preserve"> reporting, more frequent data summaries </w:t>
      </w:r>
      <w:r w:rsidR="000C3C2E" w:rsidRPr="0064381F">
        <w:rPr>
          <w:rFonts w:cs="Arial"/>
          <w:color w:val="auto"/>
        </w:rPr>
        <w:t>and/or mid-season surveys may assist in discerning between impacts on availability (catchability) versus abundance. Tagging research would also assist however this kind of research is typically very expensive.</w:t>
      </w:r>
    </w:p>
    <w:p w:rsidR="0064381F" w:rsidRDefault="0064381F" w:rsidP="00B56F1E">
      <w:pPr>
        <w:pStyle w:val="AFMANumberedlist"/>
        <w:numPr>
          <w:ilvl w:val="0"/>
          <w:numId w:val="0"/>
        </w:numPr>
        <w:spacing w:before="0" w:after="0"/>
        <w:rPr>
          <w:rFonts w:cs="Arial"/>
          <w:color w:val="auto"/>
        </w:rPr>
      </w:pPr>
    </w:p>
    <w:p w:rsidR="0064381F" w:rsidRPr="0064381F" w:rsidRDefault="0064381F" w:rsidP="00B56F1E">
      <w:pPr>
        <w:pStyle w:val="AFMANumberedlist"/>
        <w:numPr>
          <w:ilvl w:val="0"/>
          <w:numId w:val="0"/>
        </w:numPr>
        <w:spacing w:before="0" w:after="0"/>
        <w:rPr>
          <w:rFonts w:cs="Arial"/>
          <w:color w:val="auto"/>
        </w:rPr>
      </w:pPr>
      <w:r>
        <w:rPr>
          <w:rFonts w:cs="Arial"/>
          <w:color w:val="auto"/>
        </w:rPr>
        <w:t>CSIRO and AFMA noted they are continuing to work with PNG</w:t>
      </w:r>
      <w:r>
        <w:rPr>
          <w:rFonts w:cs="Arial"/>
          <w:color w:val="auto"/>
        </w:rPr>
        <w:noBreakHyphen/>
        <w:t>NFA to develop a fishery-independent survey of TRL in PNG waters.</w:t>
      </w:r>
      <w:r w:rsidR="008C2635">
        <w:rPr>
          <w:rFonts w:cs="Arial"/>
          <w:color w:val="auto"/>
        </w:rPr>
        <w:t xml:space="preserve"> AFMA noted PNG</w:t>
      </w:r>
      <w:r w:rsidR="008C2635">
        <w:rPr>
          <w:rFonts w:cs="Arial"/>
          <w:color w:val="auto"/>
        </w:rPr>
        <w:noBreakHyphen/>
        <w:t>NFA provided further commitment to this work at the bilateral meeting in 2015.</w:t>
      </w:r>
    </w:p>
    <w:p w:rsidR="009259E1" w:rsidRDefault="009259E1" w:rsidP="00642881">
      <w:pPr>
        <w:pStyle w:val="AFMANumberedlist"/>
        <w:numPr>
          <w:ilvl w:val="0"/>
          <w:numId w:val="0"/>
        </w:numPr>
        <w:spacing w:before="0" w:after="0"/>
        <w:rPr>
          <w:rFonts w:cs="Arial"/>
        </w:rPr>
      </w:pPr>
    </w:p>
    <w:p w:rsidR="005971E3" w:rsidRPr="000E58D4" w:rsidRDefault="004E5AD9" w:rsidP="00B56F1E">
      <w:pPr>
        <w:pStyle w:val="Heading2"/>
        <w:spacing w:before="0" w:after="0"/>
        <w:rPr>
          <w:rFonts w:cs="Arial"/>
        </w:rPr>
      </w:pPr>
      <w:bookmarkStart w:id="9" w:name="_Toc438542141"/>
      <w:r>
        <w:rPr>
          <w:rFonts w:cs="Arial"/>
        </w:rPr>
        <w:t>Agenda Item 4</w:t>
      </w:r>
      <w:r w:rsidR="00B41B24">
        <w:rPr>
          <w:rFonts w:cs="Arial"/>
        </w:rPr>
        <w:t xml:space="preserve"> – </w:t>
      </w:r>
      <w:r>
        <w:rPr>
          <w:rFonts w:cs="Arial"/>
        </w:rPr>
        <w:t>Recommended Biological Catch and TAC for 2015/16 fishing season</w:t>
      </w:r>
      <w:bookmarkEnd w:id="9"/>
      <w:r>
        <w:rPr>
          <w:rFonts w:cs="Arial"/>
        </w:rPr>
        <w:t xml:space="preserve"> </w:t>
      </w:r>
    </w:p>
    <w:p w:rsidR="00642881" w:rsidRDefault="00642881" w:rsidP="008C2635">
      <w:pPr>
        <w:spacing w:before="0" w:after="0"/>
      </w:pPr>
    </w:p>
    <w:p w:rsidR="00717FFC" w:rsidRDefault="000504BD" w:rsidP="008C2635">
      <w:pPr>
        <w:spacing w:before="0" w:after="0"/>
      </w:pPr>
      <w:r w:rsidRPr="005353F0">
        <w:t>The TRLRAG</w:t>
      </w:r>
      <w:r w:rsidR="00D12815">
        <w:t xml:space="preserve"> and </w:t>
      </w:r>
      <w:r w:rsidR="00151DF4">
        <w:t>TRL</w:t>
      </w:r>
      <w:r w:rsidR="00D12815">
        <w:t>WG</w:t>
      </w:r>
      <w:r w:rsidR="00AD55BF" w:rsidRPr="00AD55BF">
        <w:t xml:space="preserve"> </w:t>
      </w:r>
      <w:r w:rsidR="00AD55BF" w:rsidRPr="006D648F">
        <w:t>noted</w:t>
      </w:r>
      <w:r w:rsidR="00AD55BF" w:rsidRPr="00935BBF">
        <w:rPr>
          <w:b/>
        </w:rPr>
        <w:t xml:space="preserve"> </w:t>
      </w:r>
      <w:r w:rsidR="00AD55BF">
        <w:t>advice from the scientific member and presentation based on the paper titled ‘</w:t>
      </w:r>
      <w:r w:rsidR="00AD55BF" w:rsidRPr="00935BBF">
        <w:rPr>
          <w:i/>
        </w:rPr>
        <w:t>2015 updated assessment of the Tropical Rock Lobster (Panulirus ornatus) Fishery in the Torres Straits following November 2015 preseason survey’</w:t>
      </w:r>
      <w:r w:rsidR="00AD55BF">
        <w:rPr>
          <w:i/>
        </w:rPr>
        <w:t xml:space="preserve"> </w:t>
      </w:r>
      <w:r w:rsidR="00AD55BF" w:rsidRPr="00717FFC">
        <w:rPr>
          <w:b/>
        </w:rPr>
        <w:t>(Attachment D)</w:t>
      </w:r>
      <w:r w:rsidR="00AD55BF">
        <w:t xml:space="preserve">. </w:t>
      </w:r>
    </w:p>
    <w:p w:rsidR="00717FFC" w:rsidRDefault="00717FFC" w:rsidP="008C2635">
      <w:pPr>
        <w:spacing w:before="0" w:after="0"/>
      </w:pPr>
    </w:p>
    <w:p w:rsidR="00935BBF" w:rsidRDefault="00AD55BF" w:rsidP="008C2635">
      <w:pPr>
        <w:spacing w:before="0" w:after="0"/>
      </w:pPr>
      <w:r>
        <w:t xml:space="preserve">Based on the currently agreed harvest strategy the </w:t>
      </w:r>
      <w:r w:rsidRPr="005353F0">
        <w:t>TRLRAG</w:t>
      </w:r>
      <w:r>
        <w:t xml:space="preserve"> and TRLWG</w:t>
      </w:r>
      <w:r w:rsidRPr="00AD55BF">
        <w:t xml:space="preserve"> </w:t>
      </w:r>
      <w:r w:rsidR="00613EF7" w:rsidRPr="00717FFC">
        <w:rPr>
          <w:b/>
        </w:rPr>
        <w:t>recommended</w:t>
      </w:r>
      <w:r w:rsidR="00613EF7">
        <w:t xml:space="preserve"> </w:t>
      </w:r>
      <w:r w:rsidRPr="00AD55BF">
        <w:rPr>
          <w:i/>
        </w:rPr>
        <w:t xml:space="preserve">a global TAC </w:t>
      </w:r>
      <w:r w:rsidR="00613EF7" w:rsidRPr="00AD55BF">
        <w:rPr>
          <w:i/>
        </w:rPr>
        <w:t xml:space="preserve">of 796t </w:t>
      </w:r>
      <w:r w:rsidRPr="00AD55BF">
        <w:rPr>
          <w:i/>
        </w:rPr>
        <w:t>(inclusive of Australian and PNG waters) for the 2015/16 fishing season.</w:t>
      </w:r>
    </w:p>
    <w:p w:rsidR="00642881" w:rsidRDefault="00642881" w:rsidP="00934EAD">
      <w:pPr>
        <w:pStyle w:val="AFMANumberedlist"/>
        <w:numPr>
          <w:ilvl w:val="0"/>
          <w:numId w:val="0"/>
        </w:numPr>
        <w:spacing w:before="0" w:after="0"/>
      </w:pPr>
    </w:p>
    <w:p w:rsidR="00FD5FFE" w:rsidRDefault="00613EF7" w:rsidP="00717FFC">
      <w:pPr>
        <w:spacing w:before="0" w:after="0"/>
      </w:pPr>
      <w:r>
        <w:t xml:space="preserve">In coming to this recommendation, </w:t>
      </w:r>
      <w:r w:rsidRPr="005353F0">
        <w:t>TRLRAG</w:t>
      </w:r>
      <w:r>
        <w:t xml:space="preserve"> and TRLWG c</w:t>
      </w:r>
      <w:r w:rsidR="00935BBF">
        <w:t>onsidered whether additional precaution should be applied in recommending an RBC/TAC</w:t>
      </w:r>
      <w:r w:rsidR="000504BD">
        <w:t xml:space="preserve"> </w:t>
      </w:r>
      <w:r w:rsidR="00935BBF">
        <w:t xml:space="preserve">for the 2015/16 fishing season to take into account the </w:t>
      </w:r>
      <w:r w:rsidR="00AD55BF">
        <w:t xml:space="preserve">low </w:t>
      </w:r>
      <w:r>
        <w:t xml:space="preserve">2014/15 </w:t>
      </w:r>
      <w:r w:rsidR="00AD55BF">
        <w:t xml:space="preserve">catches </w:t>
      </w:r>
      <w:r>
        <w:t>that may have resulted from anomalous</w:t>
      </w:r>
      <w:r w:rsidR="00935BBF">
        <w:t xml:space="preserve"> environmental conditions and/or catchability </w:t>
      </w:r>
      <w:r w:rsidR="008C2635">
        <w:t>of the stock</w:t>
      </w:r>
      <w:r w:rsidR="00935BBF">
        <w:t>.</w:t>
      </w:r>
      <w:r>
        <w:t xml:space="preserve">  Ultimately they agreed that this was not warranted given:</w:t>
      </w:r>
    </w:p>
    <w:p w:rsidR="00934EAD" w:rsidRDefault="00934EAD" w:rsidP="00717FFC">
      <w:pPr>
        <w:spacing w:before="0" w:after="0"/>
      </w:pPr>
    </w:p>
    <w:p w:rsidR="00613EF7" w:rsidRDefault="00D12815" w:rsidP="00FD5FFE">
      <w:pPr>
        <w:pStyle w:val="ListParagraph"/>
        <w:numPr>
          <w:ilvl w:val="0"/>
          <w:numId w:val="32"/>
        </w:numPr>
        <w:spacing w:before="0" w:after="0"/>
      </w:pPr>
      <w:r>
        <w:t>precaution</w:t>
      </w:r>
      <w:r w:rsidR="00FD5FFE">
        <w:t xml:space="preserve"> is</w:t>
      </w:r>
      <w:r>
        <w:t xml:space="preserve"> inherent in the interim TRL </w:t>
      </w:r>
      <w:r w:rsidR="00935BBF">
        <w:t xml:space="preserve">harvest strategy </w:t>
      </w:r>
      <w:r>
        <w:t>including</w:t>
      </w:r>
      <w:r w:rsidR="005D339B">
        <w:t xml:space="preserve">: </w:t>
      </w:r>
    </w:p>
    <w:p w:rsidR="00613EF7" w:rsidRDefault="005D339B" w:rsidP="00717FFC">
      <w:pPr>
        <w:pStyle w:val="ListParagraph"/>
        <w:numPr>
          <w:ilvl w:val="1"/>
          <w:numId w:val="32"/>
        </w:numPr>
        <w:spacing w:before="0" w:after="0"/>
      </w:pPr>
      <w:r>
        <w:t>a) a</w:t>
      </w:r>
      <w:r w:rsidR="00935BBF">
        <w:t xml:space="preserve"> conservative </w:t>
      </w:r>
      <w:r w:rsidR="00FD5FFE">
        <w:t>target fishing</w:t>
      </w:r>
      <w:r w:rsidR="00935BBF">
        <w:t xml:space="preserve"> mortality level </w:t>
      </w:r>
      <w:r w:rsidR="00FD5FFE">
        <w:t>of 0.15</w:t>
      </w:r>
      <w:r w:rsidR="00613EF7">
        <w:t>;</w:t>
      </w:r>
      <w:r w:rsidR="00FD5FFE">
        <w:t xml:space="preserve"> </w:t>
      </w:r>
      <w:r w:rsidR="00D12815">
        <w:t>and</w:t>
      </w:r>
      <w:r w:rsidR="00613EF7">
        <w:t>,</w:t>
      </w:r>
      <w:r w:rsidR="00D12815">
        <w:t xml:space="preserve"> </w:t>
      </w:r>
    </w:p>
    <w:p w:rsidR="00D12815" w:rsidRDefault="00D12815" w:rsidP="00717FFC">
      <w:pPr>
        <w:pStyle w:val="ListParagraph"/>
        <w:numPr>
          <w:ilvl w:val="1"/>
          <w:numId w:val="32"/>
        </w:numPr>
        <w:spacing w:before="0" w:after="0"/>
      </w:pPr>
      <w:r>
        <w:t>b) a conservative target biomass of 80</w:t>
      </w:r>
      <w:r w:rsidR="00717FFC">
        <w:t xml:space="preserve"> per cent </w:t>
      </w:r>
      <w:r>
        <w:t xml:space="preserve">of pre-fished levels which is significantly higher than the default </w:t>
      </w:r>
      <w:r w:rsidR="00613EF7">
        <w:t>48</w:t>
      </w:r>
      <w:r w:rsidR="00717FFC">
        <w:t xml:space="preserve"> per cent</w:t>
      </w:r>
      <w:r w:rsidR="00613EF7">
        <w:t xml:space="preserve"> </w:t>
      </w:r>
      <w:r>
        <w:t>target set out in the</w:t>
      </w:r>
      <w:r w:rsidRPr="001F4DFD">
        <w:rPr>
          <w:i/>
        </w:rPr>
        <w:t xml:space="preserve"> Commonwealth </w:t>
      </w:r>
      <w:r w:rsidR="001F4DFD" w:rsidRPr="001F4DFD">
        <w:rPr>
          <w:i/>
        </w:rPr>
        <w:t xml:space="preserve">Fisheries </w:t>
      </w:r>
      <w:r w:rsidRPr="001F4DFD">
        <w:rPr>
          <w:i/>
        </w:rPr>
        <w:t>Harvest Strategy Policy and Guidelines</w:t>
      </w:r>
      <w:r w:rsidR="001F4DFD" w:rsidRPr="001F4DFD">
        <w:rPr>
          <w:i/>
        </w:rPr>
        <w:t>, Sep 2007</w:t>
      </w:r>
      <w:r>
        <w:t>.</w:t>
      </w:r>
    </w:p>
    <w:p w:rsidR="001F4DFD" w:rsidRDefault="001F4DFD" w:rsidP="00306953">
      <w:pPr>
        <w:spacing w:before="0" w:after="0"/>
      </w:pPr>
    </w:p>
    <w:p w:rsidR="00D95D25" w:rsidRDefault="00D95D25" w:rsidP="00B56F1E">
      <w:pPr>
        <w:spacing w:before="0" w:after="0"/>
        <w:jc w:val="both"/>
      </w:pPr>
      <w:r>
        <w:t>Members noted advice from the scientific member that there is likely to be sectoral CPUE differences in the 2015/16 fishing season based on the spatial distribution of lobsters observed in the pre-season survey.</w:t>
      </w:r>
    </w:p>
    <w:p w:rsidR="00680FAE" w:rsidRPr="00680FAE" w:rsidRDefault="00680FAE" w:rsidP="00680FAE">
      <w:pPr>
        <w:spacing w:before="0" w:after="0"/>
      </w:pPr>
    </w:p>
    <w:p w:rsidR="00033A96" w:rsidRDefault="00DF6E1A" w:rsidP="00B56F1E">
      <w:pPr>
        <w:pStyle w:val="Heading2"/>
        <w:spacing w:before="0" w:after="0"/>
      </w:pPr>
      <w:bookmarkStart w:id="10" w:name="_Toc438542142"/>
      <w:r>
        <w:t>Other Business</w:t>
      </w:r>
      <w:bookmarkEnd w:id="10"/>
    </w:p>
    <w:p w:rsidR="00D51FDE" w:rsidRDefault="00D51FDE" w:rsidP="00680FAE">
      <w:pPr>
        <w:spacing w:before="0" w:after="0"/>
      </w:pPr>
    </w:p>
    <w:p w:rsidR="00D95D25" w:rsidRDefault="00D95D25" w:rsidP="00680FAE">
      <w:pPr>
        <w:spacing w:before="0" w:after="0"/>
      </w:pPr>
      <w:r>
        <w:t xml:space="preserve">The TRLRAG and </w:t>
      </w:r>
      <w:r w:rsidR="00151DF4">
        <w:t>TRL</w:t>
      </w:r>
      <w:r>
        <w:t>WG noted other business listed for discussion would be considered at future meetings. Items include:</w:t>
      </w:r>
    </w:p>
    <w:p w:rsidR="00642881" w:rsidRDefault="00642881" w:rsidP="00680FAE">
      <w:pPr>
        <w:spacing w:before="0" w:after="0"/>
      </w:pPr>
    </w:p>
    <w:p w:rsidR="00D95D25" w:rsidRDefault="005D339B" w:rsidP="00680FAE">
      <w:pPr>
        <w:pStyle w:val="ListParagraph"/>
        <w:numPr>
          <w:ilvl w:val="0"/>
          <w:numId w:val="34"/>
        </w:numPr>
        <w:spacing w:before="0" w:after="0" w:line="240" w:lineRule="auto"/>
        <w:contextualSpacing w:val="0"/>
      </w:pPr>
      <w:r>
        <w:t>p</w:t>
      </w:r>
      <w:r w:rsidR="00D95D25" w:rsidRPr="00D95D25">
        <w:t>reliminary costs for TRLRAG identified stock assessment options;</w:t>
      </w:r>
    </w:p>
    <w:p w:rsidR="00680FAE" w:rsidRPr="00D95D25" w:rsidRDefault="00680FAE" w:rsidP="00680FAE">
      <w:pPr>
        <w:pStyle w:val="ListParagraph"/>
        <w:spacing w:before="0" w:after="0" w:line="240" w:lineRule="auto"/>
        <w:contextualSpacing w:val="0"/>
      </w:pPr>
    </w:p>
    <w:p w:rsidR="00D95D25" w:rsidRDefault="005D339B" w:rsidP="00680FAE">
      <w:pPr>
        <w:pStyle w:val="ListParagraph"/>
        <w:numPr>
          <w:ilvl w:val="0"/>
          <w:numId w:val="34"/>
        </w:numPr>
        <w:spacing w:before="0" w:after="0" w:line="240" w:lineRule="auto"/>
        <w:contextualSpacing w:val="0"/>
      </w:pPr>
      <w:r>
        <w:t>p</w:t>
      </w:r>
      <w:r w:rsidR="00D95D25" w:rsidRPr="00D95D25">
        <w:t>reliminary procedures and costs for the proposed transition to industry survey; and</w:t>
      </w:r>
    </w:p>
    <w:p w:rsidR="00680FAE" w:rsidRDefault="00680FAE" w:rsidP="00680FAE">
      <w:pPr>
        <w:pStyle w:val="ListParagraph"/>
      </w:pPr>
    </w:p>
    <w:p w:rsidR="00D95D25" w:rsidRPr="00D95D25" w:rsidRDefault="005D339B" w:rsidP="00680FAE">
      <w:pPr>
        <w:pStyle w:val="ListParagraph"/>
        <w:numPr>
          <w:ilvl w:val="0"/>
          <w:numId w:val="34"/>
        </w:numPr>
        <w:spacing w:before="0" w:after="0" w:line="240" w:lineRule="auto"/>
        <w:contextualSpacing w:val="0"/>
      </w:pPr>
      <w:r>
        <w:t>p</w:t>
      </w:r>
      <w:r w:rsidR="00D95D25" w:rsidRPr="00D95D25">
        <w:t xml:space="preserve">roposed 12 month open season </w:t>
      </w:r>
      <w:r w:rsidR="00151DF4">
        <w:t xml:space="preserve">for </w:t>
      </w:r>
      <w:r w:rsidR="00D95D25" w:rsidRPr="00D95D25">
        <w:t>free-dive and lamp fishing (time permitting).</w:t>
      </w:r>
    </w:p>
    <w:p w:rsidR="00D95D25" w:rsidRDefault="00D95D25" w:rsidP="00680FAE">
      <w:pPr>
        <w:spacing w:before="0" w:after="0"/>
      </w:pPr>
    </w:p>
    <w:p w:rsidR="00D51FDE" w:rsidRPr="000812F9" w:rsidRDefault="00D95D25" w:rsidP="00680FAE">
      <w:pPr>
        <w:spacing w:before="0" w:after="0"/>
      </w:pPr>
      <w:r>
        <w:t>Members thanked CSIRO for preparing advice for the meeting within</w:t>
      </w:r>
      <w:r w:rsidR="00151DF4">
        <w:t xml:space="preserve"> a</w:t>
      </w:r>
      <w:r>
        <w:t xml:space="preserve"> </w:t>
      </w:r>
      <w:r w:rsidR="005D339B">
        <w:t>very</w:t>
      </w:r>
      <w:r>
        <w:t xml:space="preserve"> short timeframe following the completion of the pre-season survey.</w:t>
      </w:r>
    </w:p>
    <w:sectPr w:rsidR="00D51FDE" w:rsidRPr="000812F9" w:rsidSect="005971E3">
      <w:headerReference w:type="even" r:id="rId16"/>
      <w:headerReference w:type="default" r:id="rId17"/>
      <w:footerReference w:type="default" r:id="rId18"/>
      <w:headerReference w:type="first" r:id="rId19"/>
      <w:pgSz w:w="11906" w:h="16838" w:code="9"/>
      <w:pgMar w:top="1021" w:right="1134" w:bottom="1021" w:left="1134" w:header="340" w:footer="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AA4" w:rsidRDefault="00E54AA4">
      <w:pPr>
        <w:spacing w:after="0" w:line="240" w:lineRule="auto"/>
      </w:pPr>
      <w:r>
        <w:separator/>
      </w:r>
    </w:p>
  </w:endnote>
  <w:endnote w:type="continuationSeparator" w:id="0">
    <w:p w:rsidR="00E54AA4" w:rsidRDefault="00E54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472"/>
      <w:gridCol w:w="1391"/>
      <w:gridCol w:w="889"/>
    </w:tblGrid>
    <w:tr w:rsidR="00D95D25" w:rsidTr="0085005D">
      <w:trPr>
        <w:trHeight w:val="70"/>
      </w:trPr>
      <w:tc>
        <w:tcPr>
          <w:tcW w:w="3831" w:type="pct"/>
          <w:tcBorders>
            <w:top w:val="single" w:sz="8" w:space="0" w:color="808080"/>
            <w:bottom w:val="single" w:sz="8" w:space="0" w:color="808080"/>
          </w:tcBorders>
          <w:shd w:val="clear" w:color="auto" w:fill="FFFFFF" w:themeFill="background1"/>
          <w:vAlign w:val="center"/>
        </w:tcPr>
        <w:p w:rsidR="00D95D25" w:rsidRPr="00634A78" w:rsidRDefault="00D95D25" w:rsidP="00301500">
          <w:pPr>
            <w:pStyle w:val="Footer"/>
          </w:pPr>
          <w:r>
            <w:rPr>
              <w:rStyle w:val="footerfieldtextChar"/>
            </w:rPr>
            <w:t xml:space="preserve">Torres Strait Tropical Rock Lobster Resource Assessment and Working Group </w:t>
          </w:r>
          <w:r w:rsidR="003C06CA">
            <w:fldChar w:fldCharType="begin"/>
          </w:r>
          <w:r w:rsidR="003C06CA">
            <w:instrText xml:space="preserve"> STYLEREF  Subtitle  \* MERGEFORMAT </w:instrText>
          </w:r>
          <w:r w:rsidR="003C06CA">
            <w:fldChar w:fldCharType="separate"/>
          </w:r>
          <w:r w:rsidR="003C06CA">
            <w:rPr>
              <w:noProof/>
            </w:rPr>
            <w:t>Teleconference</w:t>
          </w:r>
          <w:r w:rsidR="003C06CA">
            <w:rPr>
              <w:noProof/>
            </w:rPr>
            <w:fldChar w:fldCharType="end"/>
          </w:r>
          <w:r w:rsidRPr="00ED2212">
            <w:t xml:space="preserve">  </w:t>
          </w:r>
          <w:r w:rsidRPr="00634A78">
            <w:tab/>
          </w:r>
        </w:p>
      </w:tc>
      <w:tc>
        <w:tcPr>
          <w:tcW w:w="713" w:type="pct"/>
          <w:tcBorders>
            <w:top w:val="single" w:sz="8" w:space="0" w:color="808080"/>
            <w:bottom w:val="single" w:sz="8" w:space="0" w:color="808080"/>
          </w:tcBorders>
          <w:shd w:val="clear" w:color="auto" w:fill="333333"/>
          <w:vAlign w:val="center"/>
        </w:tcPr>
        <w:p w:rsidR="00D95D25" w:rsidRPr="00634A78" w:rsidRDefault="00D95D25" w:rsidP="00281712">
          <w:pPr>
            <w:pStyle w:val="Footer"/>
            <w:jc w:val="center"/>
            <w:rPr>
              <w:color w:val="FFFFFF" w:themeColor="background1"/>
            </w:rPr>
          </w:pPr>
          <w:r w:rsidRPr="00634A78">
            <w:rPr>
              <w:color w:val="FFFFFF" w:themeColor="background1"/>
              <w:sz w:val="24"/>
              <w:szCs w:val="24"/>
            </w:rPr>
            <w:t>afma.gov.au</w:t>
          </w:r>
        </w:p>
      </w:tc>
      <w:tc>
        <w:tcPr>
          <w:tcW w:w="456" w:type="pct"/>
          <w:tcBorders>
            <w:top w:val="single" w:sz="8" w:space="0" w:color="808080"/>
            <w:bottom w:val="single" w:sz="8" w:space="0" w:color="808080"/>
          </w:tcBorders>
          <w:vAlign w:val="center"/>
        </w:tcPr>
        <w:p w:rsidR="00D95D25" w:rsidRPr="00E90CC3" w:rsidRDefault="00D95D25" w:rsidP="00281712">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3C06CA">
            <w:rPr>
              <w:b/>
              <w:noProof/>
            </w:rPr>
            <w:t>3</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3C06CA">
            <w:rPr>
              <w:b/>
              <w:noProof/>
            </w:rPr>
            <w:t>8</w:t>
          </w:r>
          <w:r w:rsidRPr="00634A78">
            <w:rPr>
              <w:b/>
            </w:rPr>
            <w:fldChar w:fldCharType="end"/>
          </w:r>
        </w:p>
      </w:tc>
    </w:tr>
  </w:tbl>
  <w:p w:rsidR="00D95D25" w:rsidRPr="00217825" w:rsidRDefault="00D95D25" w:rsidP="002817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AA4" w:rsidRDefault="00E54AA4">
      <w:pPr>
        <w:spacing w:after="0" w:line="240" w:lineRule="auto"/>
      </w:pPr>
      <w:r>
        <w:separator/>
      </w:r>
    </w:p>
  </w:footnote>
  <w:footnote w:type="continuationSeparator" w:id="0">
    <w:p w:rsidR="00E54AA4" w:rsidRDefault="00E54A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201772" o:spid="_x0000_s2052" type="#_x0000_t136" style="position:absolute;margin-left:0;margin-top:0;width:356.25pt;height:117pt;rotation:315;z-index:-251654144;mso-position-horizontal:center;mso-position-horizontal-relative:margin;mso-position-vertical:center;mso-position-vertical-relative:margin" o:allowincell="f" fillcolor="silver" stroked="f">
          <v:fill opacity=".5"/>
          <v:textpath style="font-family:&quot;Arial&quot;;font-size:105pt" string="Ratified"/>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25" w:rsidRDefault="00CD3DBA" w:rsidP="00281712">
    <w:pPr>
      <w:pStyle w:val="Header"/>
      <w:ind w:left="-1985" w:firstLine="198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201773" o:spid="_x0000_s2053" type="#_x0000_t136" style="position:absolute;left:0;text-align:left;margin-left:0;margin-top:0;width:356.25pt;height:117pt;rotation:315;z-index:-251652096;mso-position-horizontal:center;mso-position-horizontal-relative:margin;mso-position-vertical:center;mso-position-vertical-relative:margin" o:allowincell="f" fillcolor="silver" stroked="f">
          <v:fill opacity=".5"/>
          <v:textpath style="font-family:&quot;Arial&quot;;font-size:105pt" string="Ratified"/>
        </v:shape>
      </w:pict>
    </w:r>
    <w:r w:rsidR="00D95D25" w:rsidRPr="00DD76F8">
      <w:rPr>
        <w:noProof/>
        <w:lang w:eastAsia="en-AU"/>
      </w:rPr>
      <mc:AlternateContent>
        <mc:Choice Requires="wps">
          <w:drawing>
            <wp:anchor distT="0" distB="0" distL="114300" distR="114300" simplePos="0" relativeHeight="251658240" behindDoc="0" locked="0" layoutInCell="1" allowOverlap="1" wp14:anchorId="26455D7E" wp14:editId="4E207840">
              <wp:simplePos x="0" y="0"/>
              <wp:positionH relativeFrom="page">
                <wp:posOffset>676894</wp:posOffset>
              </wp:positionH>
              <wp:positionV relativeFrom="page">
                <wp:posOffset>1520042</wp:posOffset>
              </wp:positionV>
              <wp:extent cx="3959860" cy="3733156"/>
              <wp:effectExtent l="0" t="0" r="2540" b="1270"/>
              <wp:wrapNone/>
              <wp:docPr id="12" name="Rectangle 12" descr="Graphic Rectangle" title="Graphic Rectangle"/>
              <wp:cNvGraphicFramePr/>
              <a:graphic xmlns:a="http://schemas.openxmlformats.org/drawingml/2006/main">
                <a:graphicData uri="http://schemas.microsoft.com/office/word/2010/wordprocessingShape">
                  <wps:wsp>
                    <wps:cNvSpPr/>
                    <wps:spPr>
                      <a:xfrm>
                        <a:off x="0" y="0"/>
                        <a:ext cx="3959860" cy="3733156"/>
                      </a:xfrm>
                      <a:prstGeom prst="rect">
                        <a:avLst/>
                      </a:prstGeom>
                      <a:solidFill>
                        <a:schemeClr val="tx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0D9EFCC" id="Rectangle 12" o:spid="_x0000_s1026" alt="Title: Graphic Rectangle - Description: Graphic Rectangle" style="position:absolute;margin-left:53.3pt;margin-top:119.7pt;width:311.8pt;height:293.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" fillcolor="black [3213]" stroked="f" strokeweight="2pt">
              <v:fill opacity="55769f"/>
              <w10:wrap anchorx="page" anchory="page"/>
            </v:rect>
          </w:pict>
        </mc:Fallback>
      </mc:AlternateContent>
    </w:r>
    <w:r w:rsidR="00D95D25" w:rsidRPr="000E0AE9">
      <w:rPr>
        <w:noProof/>
        <w:lang w:eastAsia="en-AU"/>
      </w:rPr>
      <mc:AlternateContent>
        <mc:Choice Requires="wps">
          <w:drawing>
            <wp:anchor distT="0" distB="0" distL="114300" distR="114300" simplePos="0" relativeHeight="251657216" behindDoc="0" locked="0" layoutInCell="1" allowOverlap="1" wp14:anchorId="4EB2020C" wp14:editId="1E055530">
              <wp:simplePos x="0" y="0"/>
              <wp:positionH relativeFrom="page">
                <wp:posOffset>681990</wp:posOffset>
              </wp:positionH>
              <wp:positionV relativeFrom="page">
                <wp:posOffset>5251823</wp:posOffset>
              </wp:positionV>
              <wp:extent cx="3959860" cy="1295400"/>
              <wp:effectExtent l="0" t="0" r="2540" b="0"/>
              <wp:wrapNone/>
              <wp:docPr id="6" name="Rectangle 6" descr="Graphic Rectangle" title="Graphic Rectangle"/>
              <wp:cNvGraphicFramePr/>
              <a:graphic xmlns:a="http://schemas.openxmlformats.org/drawingml/2006/main">
                <a:graphicData uri="http://schemas.microsoft.com/office/word/2010/wordprocessingShape">
                  <wps:wsp>
                    <wps:cNvSpPr/>
                    <wps:spPr>
                      <a:xfrm>
                        <a:off x="0" y="0"/>
                        <a:ext cx="3959860" cy="1295400"/>
                      </a:xfrm>
                      <a:prstGeom prst="rect">
                        <a:avLst/>
                      </a:prstGeom>
                      <a:solidFill>
                        <a:srgbClr val="006C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5C2D1CA" id="Rectangle 6" o:spid="_x0000_s1026" alt="Title: Graphic Rectangle - Description: Graphic Rectangle" style="position:absolute;margin-left:53.7pt;margin-top:413.55pt;width:311.8pt;height:10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" fillcolor="#006c8b" stroked="f" strokeweight="2pt">
              <w10:wrap anchorx="page" anchory="page"/>
            </v:rect>
          </w:pict>
        </mc:Fallback>
      </mc:AlternateContent>
    </w:r>
    <w:r w:rsidR="00D95D25">
      <w:rPr>
        <w:noProof/>
        <w:lang w:eastAsia="en-AU"/>
      </w:rPr>
      <mc:AlternateContent>
        <mc:Choice Requires="wps">
          <w:drawing>
            <wp:anchor distT="0" distB="0" distL="114300" distR="114300" simplePos="0" relativeHeight="251656192" behindDoc="0" locked="0" layoutInCell="1" allowOverlap="1" wp14:anchorId="4DA1C936" wp14:editId="52B0EDFD">
              <wp:simplePos x="0" y="0"/>
              <wp:positionH relativeFrom="page">
                <wp:posOffset>7021195</wp:posOffset>
              </wp:positionH>
              <wp:positionV relativeFrom="page">
                <wp:posOffset>1962150</wp:posOffset>
              </wp:positionV>
              <wp:extent cx="324000" cy="6731640"/>
              <wp:effectExtent l="0" t="0" r="0" b="12065"/>
              <wp:wrapNone/>
              <wp:docPr id="17" name="Text Box 17"/>
              <wp:cNvGraphicFramePr/>
              <a:graphic xmlns:a="http://schemas.openxmlformats.org/drawingml/2006/main">
                <a:graphicData uri="http://schemas.microsoft.com/office/word/2010/wordprocessingShape">
                  <wps:wsp>
                    <wps:cNvSpPr txBox="1"/>
                    <wps:spPr>
                      <a:xfrm>
                        <a:off x="0" y="0"/>
                        <a:ext cx="324000" cy="673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D25" w:rsidRPr="00932135" w:rsidRDefault="00D95D25" w:rsidP="00281712">
                          <w:pPr>
                            <w:pStyle w:val="SideBarText"/>
                          </w:pPr>
                          <w:r w:rsidRPr="00932135">
                            <w:t xml:space="preserve">Box 7051, Canberra Business Centre, ACT 2610 / Ph (02) 6225 5555 / Fax (02) 6225 5500 / AFMA Direct 1300 723 621 </w:t>
                          </w:r>
                          <w:r>
                            <w:t xml:space="preserve">  </w:t>
                          </w:r>
                          <w:hyperlink r:id="rId1" w:history="1">
                            <w:r w:rsidRPr="00932135">
                              <w:rPr>
                                <w:rStyle w:val="Hyperlink"/>
                                <w:rFonts w:cstheme="minorBidi"/>
                                <w:b/>
                              </w:rPr>
                              <w:t>afma.gov.au</w:t>
                            </w:r>
                          </w:hyperlink>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552.85pt;margin-top:154.5pt;width:25.5pt;height:53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" filled="f" stroked="f" strokeweight=".5pt">
              <v:textbox style="layout-flow:vertical;mso-layout-flow-alt:bottom-to-top" inset="0,0,0,0">
                <w:txbxContent>
                  <w:p w:rsidR="00D95D25" w:rsidRPr="00932135" w:rsidRDefault="00D95D25" w:rsidP="00281712">
                    <w:pPr>
                      <w:pStyle w:val="SideBarText"/>
                    </w:pPr>
                    <w:r w:rsidRPr="00932135">
                      <w:t xml:space="preserve">Box 7051, Canberra Business Centre, ACT 2610 / </w:t>
                    </w:r>
                    <w:proofErr w:type="spellStart"/>
                    <w:r w:rsidRPr="00932135">
                      <w:t>Ph</w:t>
                    </w:r>
                    <w:proofErr w:type="spellEnd"/>
                    <w:r w:rsidRPr="00932135">
                      <w:t xml:space="preserve"> (02) 6225 5555 / Fax (02) 6225 5500 / AFMA Direct 1300 723 621 </w:t>
                    </w:r>
                    <w:r>
                      <w:t xml:space="preserve">  </w:t>
                    </w:r>
                    <w:hyperlink r:id="rId2" w:history="1">
                      <w:r w:rsidRPr="00932135">
                        <w:rPr>
                          <w:rStyle w:val="Hyperlink"/>
                          <w:rFonts w:cstheme="minorBidi"/>
                          <w:b/>
                        </w:rPr>
                        <w:t>afma.gov.au</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201771" o:spid="_x0000_s2051" type="#_x0000_t136" style="position:absolute;margin-left:0;margin-top:0;width:356.25pt;height:117pt;rotation:315;z-index:-251656192;mso-position-horizontal:center;mso-position-horizontal-relative:margin;mso-position-vertical:center;mso-position-vertical-relative:margin" o:allowincell="f" fillcolor="silver" stroked="f">
          <v:fill opacity=".5"/>
          <v:textpath style="font-family:&quot;Arial&quot;;font-size:105pt" string="Ratified"/>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201775" o:spid="_x0000_s2055" type="#_x0000_t136" style="position:absolute;margin-left:0;margin-top:0;width:356.25pt;height:117pt;rotation:315;z-index:-251648000;mso-position-horizontal:center;mso-position-horizontal-relative:margin;mso-position-vertical:center;mso-position-vertical-relative:margin" o:allowincell="f" fillcolor="silver" stroked="f">
          <v:fill opacity=".5"/>
          <v:textpath style="font-family:&quot;Arial&quot;;font-size:105pt" string="Ratified"/>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D25" w:rsidRDefault="00CD3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201776" o:spid="_x0000_s2056" type="#_x0000_t136" style="position:absolute;margin-left:0;margin-top:0;width:356.25pt;height:117pt;rotation:315;z-index:-251645952;mso-position-horizontal:center;mso-position-horizontal-relative:margin;mso-position-vertical:center;mso-position-vertical-relative:margin" o:allowincell="f" fillcolor="silver" stroked="f">
          <v:fill opacity=".5"/>
          <v:textpath style="font-family:&quot;Arial&quot;;font-size:105pt" string="Ratified"/>
        </v:shape>
      </w:pict>
    </w:r>
  </w:p>
  <w:p w:rsidR="00D95D25" w:rsidRDefault="00D95D25" w:rsidP="00281712">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DBA" w:rsidRDefault="00CD3D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201774" o:spid="_x0000_s2054" type="#_x0000_t136" style="position:absolute;margin-left:0;margin-top:0;width:356.25pt;height:117pt;rotation:315;z-index:-251650048;mso-position-horizontal:center;mso-position-horizontal-relative:margin;mso-position-vertical:center;mso-position-vertical-relative:margin" o:allowincell="f" fillcolor="silver" stroked="f">
          <v:fill opacity=".5"/>
          <v:textpath style="font-family:&quot;Arial&quot;;font-size:105pt" string="Ratifi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5A86"/>
    <w:multiLevelType w:val="hybridMultilevel"/>
    <w:tmpl w:val="1DD4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0B018A"/>
    <w:multiLevelType w:val="multilevel"/>
    <w:tmpl w:val="D9D8D3DE"/>
    <w:lvl w:ilvl="0">
      <w:start w:val="1"/>
      <w:numFmt w:val="none"/>
      <w:lvlText w:val=""/>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Numbered"/>
      <w:lvlText w:val="%2.%3.%4.%5"/>
      <w:lvlJc w:val="left"/>
      <w:pPr>
        <w:ind w:left="1008" w:hanging="1008"/>
      </w:pPr>
      <w:rPr>
        <w:rFonts w:hint="default"/>
      </w:rPr>
    </w:lvl>
    <w:lvl w:ilvl="5">
      <w:start w:val="1"/>
      <w:numFmt w:val="decimal"/>
      <w:pStyle w:val="Heading6-Numbered"/>
      <w:lvlText w:val="%1%2.%3.%4.%5.%6"/>
      <w:lvlJc w:val="left"/>
      <w:pPr>
        <w:ind w:left="1152" w:hanging="1152"/>
      </w:pPr>
      <w:rPr>
        <w:rFonts w:hint="default"/>
      </w:rPr>
    </w:lvl>
    <w:lvl w:ilvl="6">
      <w:start w:val="1"/>
      <w:numFmt w:val="decimal"/>
      <w:pStyle w:val="Heading7-Numbered"/>
      <w:lvlText w:val="%1%2.%3.%4.%5.%6.%7"/>
      <w:lvlJc w:val="left"/>
      <w:pPr>
        <w:ind w:left="1296" w:hanging="1296"/>
      </w:pPr>
      <w:rPr>
        <w:rFonts w:hint="default"/>
      </w:rPr>
    </w:lvl>
    <w:lvl w:ilvl="7">
      <w:start w:val="1"/>
      <w:numFmt w:val="decimal"/>
      <w:pStyle w:val="Heading8-Numbered"/>
      <w:lvlText w:val="%1%2.%3.%4.%5.%6.%7.%8"/>
      <w:lvlJc w:val="left"/>
      <w:pPr>
        <w:ind w:left="1440" w:hanging="1440"/>
      </w:pPr>
      <w:rPr>
        <w:rFonts w:hint="default"/>
      </w:rPr>
    </w:lvl>
    <w:lvl w:ilvl="8">
      <w:start w:val="1"/>
      <w:numFmt w:val="decimal"/>
      <w:pStyle w:val="Heading9-Numbered"/>
      <w:lvlText w:val="%1%2.%3.%4.%5.%6.%7.%8.%9"/>
      <w:lvlJc w:val="left"/>
      <w:pPr>
        <w:ind w:left="1584" w:hanging="1584"/>
      </w:pPr>
      <w:rPr>
        <w:rFonts w:hint="default"/>
      </w:rPr>
    </w:lvl>
  </w:abstractNum>
  <w:abstractNum w:abstractNumId="2">
    <w:nsid w:val="1F397D60"/>
    <w:multiLevelType w:val="multilevel"/>
    <w:tmpl w:val="AF1C47E0"/>
    <w:lvl w:ilvl="0">
      <w:start w:val="1"/>
      <w:numFmt w:val="decimal"/>
      <w:pStyle w:val="AFMA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4965CE"/>
    <w:multiLevelType w:val="hybridMultilevel"/>
    <w:tmpl w:val="1B389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92554D"/>
    <w:multiLevelType w:val="hybridMultilevel"/>
    <w:tmpl w:val="3F3C6FF8"/>
    <w:lvl w:ilvl="0" w:tplc="F6C0EF62">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875BCD"/>
    <w:multiLevelType w:val="hybridMultilevel"/>
    <w:tmpl w:val="31248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B22B3E"/>
    <w:multiLevelType w:val="hybridMultilevel"/>
    <w:tmpl w:val="00EA4BCA"/>
    <w:lvl w:ilvl="0" w:tplc="1DE080DE">
      <w:start w:val="1"/>
      <w:numFmt w:val="upp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A0D7470"/>
    <w:multiLevelType w:val="hybridMultilevel"/>
    <w:tmpl w:val="9FA4C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3734D4"/>
    <w:multiLevelType w:val="multilevel"/>
    <w:tmpl w:val="D5A4A8F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E2455B9"/>
    <w:multiLevelType w:val="hybridMultilevel"/>
    <w:tmpl w:val="F6DAC8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F80A83"/>
    <w:multiLevelType w:val="hybridMultilevel"/>
    <w:tmpl w:val="DDEC3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1293FF3"/>
    <w:multiLevelType w:val="hybridMultilevel"/>
    <w:tmpl w:val="09788AF2"/>
    <w:lvl w:ilvl="0" w:tplc="F6C0EF62">
      <w:start w:val="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38E0822"/>
    <w:multiLevelType w:val="hybridMultilevel"/>
    <w:tmpl w:val="7A8CB2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375210B7"/>
    <w:multiLevelType w:val="hybridMultilevel"/>
    <w:tmpl w:val="09EE2C90"/>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385F5271"/>
    <w:multiLevelType w:val="hybridMultilevel"/>
    <w:tmpl w:val="F51CE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A92990"/>
    <w:multiLevelType w:val="hybridMultilevel"/>
    <w:tmpl w:val="6172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F570C9B"/>
    <w:multiLevelType w:val="hybridMultilevel"/>
    <w:tmpl w:val="3E36F74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09C46C5"/>
    <w:multiLevelType w:val="hybridMultilevel"/>
    <w:tmpl w:val="8BB646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17D0117"/>
    <w:multiLevelType w:val="hybridMultilevel"/>
    <w:tmpl w:val="18FCFD0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538D01AA"/>
    <w:multiLevelType w:val="hybridMultilevel"/>
    <w:tmpl w:val="0B621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8032897"/>
    <w:multiLevelType w:val="hybridMultilevel"/>
    <w:tmpl w:val="2154133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C98003E"/>
    <w:multiLevelType w:val="hybridMultilevel"/>
    <w:tmpl w:val="BC0A7E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CD81BCA"/>
    <w:multiLevelType w:val="hybridMultilevel"/>
    <w:tmpl w:val="7630A116"/>
    <w:lvl w:ilvl="0" w:tplc="54D86CA0">
      <w:start w:val="1"/>
      <w:numFmt w:val="bullet"/>
      <w:pStyle w:val="Lis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BA7E57"/>
    <w:multiLevelType w:val="hybridMultilevel"/>
    <w:tmpl w:val="F916890E"/>
    <w:lvl w:ilvl="0" w:tplc="A3A45D0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4E16399"/>
    <w:multiLevelType w:val="hybridMultilevel"/>
    <w:tmpl w:val="48D47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59832C5"/>
    <w:multiLevelType w:val="hybridMultilevel"/>
    <w:tmpl w:val="FC44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6FC17F4"/>
    <w:multiLevelType w:val="hybridMultilevel"/>
    <w:tmpl w:val="402ADFEC"/>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2816F3"/>
    <w:multiLevelType w:val="hybridMultilevel"/>
    <w:tmpl w:val="AB0C9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993F03"/>
    <w:multiLevelType w:val="hybridMultilevel"/>
    <w:tmpl w:val="14C654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nsid w:val="6B933322"/>
    <w:multiLevelType w:val="hybridMultilevel"/>
    <w:tmpl w:val="AA3072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B424C8"/>
    <w:multiLevelType w:val="hybridMultilevel"/>
    <w:tmpl w:val="634832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5ED6185"/>
    <w:multiLevelType w:val="hybridMultilevel"/>
    <w:tmpl w:val="F628F9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88A250E"/>
    <w:multiLevelType w:val="hybridMultilevel"/>
    <w:tmpl w:val="7896976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3487A"/>
    <w:multiLevelType w:val="hybridMultilevel"/>
    <w:tmpl w:val="5454B2C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22"/>
  </w:num>
  <w:num w:numId="4">
    <w:abstractNumId w:val="8"/>
  </w:num>
  <w:num w:numId="5">
    <w:abstractNumId w:val="15"/>
  </w:num>
  <w:num w:numId="6">
    <w:abstractNumId w:val="30"/>
  </w:num>
  <w:num w:numId="7">
    <w:abstractNumId w:val="3"/>
  </w:num>
  <w:num w:numId="8">
    <w:abstractNumId w:val="31"/>
  </w:num>
  <w:num w:numId="9">
    <w:abstractNumId w:val="23"/>
  </w:num>
  <w:num w:numId="10">
    <w:abstractNumId w:val="29"/>
  </w:num>
  <w:num w:numId="11">
    <w:abstractNumId w:val="26"/>
  </w:num>
  <w:num w:numId="12">
    <w:abstractNumId w:val="20"/>
  </w:num>
  <w:num w:numId="13">
    <w:abstractNumId w:val="9"/>
  </w:num>
  <w:num w:numId="14">
    <w:abstractNumId w:val="16"/>
  </w:num>
  <w:num w:numId="15">
    <w:abstractNumId w:val="14"/>
  </w:num>
  <w:num w:numId="16">
    <w:abstractNumId w:val="6"/>
  </w:num>
  <w:num w:numId="17">
    <w:abstractNumId w:val="25"/>
  </w:num>
  <w:num w:numId="18">
    <w:abstractNumId w:val="33"/>
  </w:num>
  <w:num w:numId="19">
    <w:abstractNumId w:val="32"/>
  </w:num>
  <w:num w:numId="20">
    <w:abstractNumId w:val="13"/>
  </w:num>
  <w:num w:numId="21">
    <w:abstractNumId w:val="27"/>
  </w:num>
  <w:num w:numId="22">
    <w:abstractNumId w:val="5"/>
  </w:num>
  <w:num w:numId="23">
    <w:abstractNumId w:val="4"/>
  </w:num>
  <w:num w:numId="24">
    <w:abstractNumId w:val="11"/>
  </w:num>
  <w:num w:numId="25">
    <w:abstractNumId w:val="17"/>
  </w:num>
  <w:num w:numId="26">
    <w:abstractNumId w:val="10"/>
  </w:num>
  <w:num w:numId="27">
    <w:abstractNumId w:val="21"/>
  </w:num>
  <w:num w:numId="28">
    <w:abstractNumId w:val="24"/>
  </w:num>
  <w:num w:numId="29">
    <w:abstractNumId w:val="19"/>
  </w:num>
  <w:num w:numId="30">
    <w:abstractNumId w:val="12"/>
  </w:num>
  <w:num w:numId="31">
    <w:abstractNumId w:val="0"/>
  </w:num>
  <w:num w:numId="32">
    <w:abstractNumId w:val="7"/>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
  </w:num>
  <w:num w:numId="36">
    <w:abstractNumId w:val="2"/>
  </w:num>
  <w:num w:numId="37">
    <w:abstractNumId w:val="2"/>
  </w:num>
  <w:num w:numId="38">
    <w:abstractNumId w:val="2"/>
  </w:num>
  <w:num w:numId="39">
    <w:abstractNumId w:val="2"/>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Knuckey">
    <w15:presenceInfo w15:providerId="Windows Live" w15:userId="f48bd7ac066c4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56"/>
    <w:rsid w:val="00001FC0"/>
    <w:rsid w:val="00024402"/>
    <w:rsid w:val="0003044A"/>
    <w:rsid w:val="00033A96"/>
    <w:rsid w:val="00041CE8"/>
    <w:rsid w:val="0004292F"/>
    <w:rsid w:val="000432ED"/>
    <w:rsid w:val="000504BD"/>
    <w:rsid w:val="0005224E"/>
    <w:rsid w:val="0005713E"/>
    <w:rsid w:val="00063747"/>
    <w:rsid w:val="00072566"/>
    <w:rsid w:val="00076233"/>
    <w:rsid w:val="0009296B"/>
    <w:rsid w:val="00093FCB"/>
    <w:rsid w:val="000C0A19"/>
    <w:rsid w:val="000C3C2E"/>
    <w:rsid w:val="000D360F"/>
    <w:rsid w:val="000D5579"/>
    <w:rsid w:val="000E737E"/>
    <w:rsid w:val="0010351C"/>
    <w:rsid w:val="00105C96"/>
    <w:rsid w:val="0010795D"/>
    <w:rsid w:val="00111324"/>
    <w:rsid w:val="00135EB8"/>
    <w:rsid w:val="00137523"/>
    <w:rsid w:val="00137A7F"/>
    <w:rsid w:val="00146E88"/>
    <w:rsid w:val="00151DF4"/>
    <w:rsid w:val="00156389"/>
    <w:rsid w:val="001B067F"/>
    <w:rsid w:val="001C616F"/>
    <w:rsid w:val="001F1ACD"/>
    <w:rsid w:val="001F4DFD"/>
    <w:rsid w:val="00211979"/>
    <w:rsid w:val="002129CF"/>
    <w:rsid w:val="0022276C"/>
    <w:rsid w:val="00227DAB"/>
    <w:rsid w:val="00252B52"/>
    <w:rsid w:val="00272C0D"/>
    <w:rsid w:val="0027377B"/>
    <w:rsid w:val="00281712"/>
    <w:rsid w:val="002A36E9"/>
    <w:rsid w:val="002A5F44"/>
    <w:rsid w:val="002B2655"/>
    <w:rsid w:val="002E4E12"/>
    <w:rsid w:val="002F50BE"/>
    <w:rsid w:val="00301500"/>
    <w:rsid w:val="00306953"/>
    <w:rsid w:val="00327B70"/>
    <w:rsid w:val="003441D6"/>
    <w:rsid w:val="0034750E"/>
    <w:rsid w:val="00347824"/>
    <w:rsid w:val="00361AB5"/>
    <w:rsid w:val="00371018"/>
    <w:rsid w:val="00375105"/>
    <w:rsid w:val="003A7365"/>
    <w:rsid w:val="003C06CA"/>
    <w:rsid w:val="003C4C67"/>
    <w:rsid w:val="003D3E1E"/>
    <w:rsid w:val="003E21CD"/>
    <w:rsid w:val="003F4C2E"/>
    <w:rsid w:val="004009E3"/>
    <w:rsid w:val="00426BFC"/>
    <w:rsid w:val="00427E39"/>
    <w:rsid w:val="0043793E"/>
    <w:rsid w:val="0045237F"/>
    <w:rsid w:val="00492D88"/>
    <w:rsid w:val="004A1F28"/>
    <w:rsid w:val="004C2D27"/>
    <w:rsid w:val="004C48DD"/>
    <w:rsid w:val="004D6846"/>
    <w:rsid w:val="004E2F2D"/>
    <w:rsid w:val="004E5AD9"/>
    <w:rsid w:val="004F4466"/>
    <w:rsid w:val="00545179"/>
    <w:rsid w:val="00550C9D"/>
    <w:rsid w:val="00564132"/>
    <w:rsid w:val="00567B76"/>
    <w:rsid w:val="005918D8"/>
    <w:rsid w:val="00591AA5"/>
    <w:rsid w:val="005971E3"/>
    <w:rsid w:val="005A2CA8"/>
    <w:rsid w:val="005B010C"/>
    <w:rsid w:val="005C1F14"/>
    <w:rsid w:val="005D2ACC"/>
    <w:rsid w:val="005D339B"/>
    <w:rsid w:val="005D51F2"/>
    <w:rsid w:val="005F7466"/>
    <w:rsid w:val="006102F5"/>
    <w:rsid w:val="0061037E"/>
    <w:rsid w:val="00613EF7"/>
    <w:rsid w:val="006157CE"/>
    <w:rsid w:val="00634690"/>
    <w:rsid w:val="00634B8A"/>
    <w:rsid w:val="00642881"/>
    <w:rsid w:val="0064381F"/>
    <w:rsid w:val="00677439"/>
    <w:rsid w:val="00680FAE"/>
    <w:rsid w:val="006849B3"/>
    <w:rsid w:val="00694465"/>
    <w:rsid w:val="006B7357"/>
    <w:rsid w:val="006D648F"/>
    <w:rsid w:val="006E7026"/>
    <w:rsid w:val="006F000D"/>
    <w:rsid w:val="006F16AD"/>
    <w:rsid w:val="007103E9"/>
    <w:rsid w:val="00717FFC"/>
    <w:rsid w:val="00722D17"/>
    <w:rsid w:val="00723209"/>
    <w:rsid w:val="007238FD"/>
    <w:rsid w:val="007355A4"/>
    <w:rsid w:val="007456DC"/>
    <w:rsid w:val="007529CF"/>
    <w:rsid w:val="00755256"/>
    <w:rsid w:val="00763382"/>
    <w:rsid w:val="00767586"/>
    <w:rsid w:val="007678BD"/>
    <w:rsid w:val="00786B6D"/>
    <w:rsid w:val="007B5996"/>
    <w:rsid w:val="007B59F2"/>
    <w:rsid w:val="007D082A"/>
    <w:rsid w:val="007D7FED"/>
    <w:rsid w:val="007F1098"/>
    <w:rsid w:val="0081236E"/>
    <w:rsid w:val="00821E59"/>
    <w:rsid w:val="0082643D"/>
    <w:rsid w:val="0085005D"/>
    <w:rsid w:val="008606F6"/>
    <w:rsid w:val="00873971"/>
    <w:rsid w:val="00883D82"/>
    <w:rsid w:val="00893CAB"/>
    <w:rsid w:val="00896FA2"/>
    <w:rsid w:val="008A75B2"/>
    <w:rsid w:val="008C2635"/>
    <w:rsid w:val="008C7469"/>
    <w:rsid w:val="008E0555"/>
    <w:rsid w:val="008E2091"/>
    <w:rsid w:val="00917302"/>
    <w:rsid w:val="009249F6"/>
    <w:rsid w:val="009259E1"/>
    <w:rsid w:val="00934EAD"/>
    <w:rsid w:val="00935BBF"/>
    <w:rsid w:val="00971E9E"/>
    <w:rsid w:val="009720DD"/>
    <w:rsid w:val="00972D40"/>
    <w:rsid w:val="009A0896"/>
    <w:rsid w:val="009A76B7"/>
    <w:rsid w:val="009D0EB3"/>
    <w:rsid w:val="009F6A0E"/>
    <w:rsid w:val="009F78EA"/>
    <w:rsid w:val="00A12054"/>
    <w:rsid w:val="00A51982"/>
    <w:rsid w:val="00A73E3D"/>
    <w:rsid w:val="00A84C35"/>
    <w:rsid w:val="00AC6078"/>
    <w:rsid w:val="00AD55BF"/>
    <w:rsid w:val="00AD566E"/>
    <w:rsid w:val="00AD6ADF"/>
    <w:rsid w:val="00B07860"/>
    <w:rsid w:val="00B305AE"/>
    <w:rsid w:val="00B30A43"/>
    <w:rsid w:val="00B30DF0"/>
    <w:rsid w:val="00B41B24"/>
    <w:rsid w:val="00B469C0"/>
    <w:rsid w:val="00B56F1E"/>
    <w:rsid w:val="00B67798"/>
    <w:rsid w:val="00BB5131"/>
    <w:rsid w:val="00BB7E62"/>
    <w:rsid w:val="00BC7399"/>
    <w:rsid w:val="00BF6518"/>
    <w:rsid w:val="00C66178"/>
    <w:rsid w:val="00C72036"/>
    <w:rsid w:val="00CC2F99"/>
    <w:rsid w:val="00CD3DBA"/>
    <w:rsid w:val="00CD5B36"/>
    <w:rsid w:val="00CE28D7"/>
    <w:rsid w:val="00CF41A7"/>
    <w:rsid w:val="00D03FF7"/>
    <w:rsid w:val="00D12815"/>
    <w:rsid w:val="00D35500"/>
    <w:rsid w:val="00D447BC"/>
    <w:rsid w:val="00D51FDE"/>
    <w:rsid w:val="00D65FD0"/>
    <w:rsid w:val="00D82745"/>
    <w:rsid w:val="00D84F19"/>
    <w:rsid w:val="00D920EE"/>
    <w:rsid w:val="00D95D25"/>
    <w:rsid w:val="00D9736E"/>
    <w:rsid w:val="00DC15F2"/>
    <w:rsid w:val="00DE588B"/>
    <w:rsid w:val="00DF6E1A"/>
    <w:rsid w:val="00E06BFD"/>
    <w:rsid w:val="00E06DC2"/>
    <w:rsid w:val="00E1468A"/>
    <w:rsid w:val="00E247DD"/>
    <w:rsid w:val="00E2591A"/>
    <w:rsid w:val="00E54AA4"/>
    <w:rsid w:val="00EB2242"/>
    <w:rsid w:val="00EC10E8"/>
    <w:rsid w:val="00EF4643"/>
    <w:rsid w:val="00F013CC"/>
    <w:rsid w:val="00F118EA"/>
    <w:rsid w:val="00F12B7C"/>
    <w:rsid w:val="00F16918"/>
    <w:rsid w:val="00F2251C"/>
    <w:rsid w:val="00F22979"/>
    <w:rsid w:val="00F3651A"/>
    <w:rsid w:val="00F61492"/>
    <w:rsid w:val="00FA26D7"/>
    <w:rsid w:val="00FA5041"/>
    <w:rsid w:val="00FA5A7D"/>
    <w:rsid w:val="00FA6DCF"/>
    <w:rsid w:val="00FB24FC"/>
    <w:rsid w:val="00FC69C2"/>
    <w:rsid w:val="00FD5FFE"/>
    <w:rsid w:val="00FE47A3"/>
    <w:rsid w:val="00FF3D93"/>
    <w:rsid w:val="00FF3EB9"/>
    <w:rsid w:val="00FF68A1"/>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E8"/>
    <w:pPr>
      <w:spacing w:before="120" w:after="120"/>
    </w:pPr>
    <w:rPr>
      <w:rFonts w:ascii="Arial" w:hAnsi="Arial"/>
      <w:sz w:val="24"/>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EC10E8"/>
    <w:pPr>
      <w:keepNext/>
      <w:keepLines/>
      <w:suppressAutoHyphens/>
      <w:spacing w:before="240" w:after="240" w:line="280" w:lineRule="atLeast"/>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EC10E8"/>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033A96"/>
    <w:pPr>
      <w:suppressAutoHyphens/>
      <w:spacing w:before="180" w:after="100" w:line="280" w:lineRule="atLeast"/>
      <w:ind w:left="200"/>
    </w:pPr>
    <w:rPr>
      <w:color w:val="333333"/>
      <w:spacing w:val="-4"/>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763382"/>
    <w:pPr>
      <w:numPr>
        <w:numId w:val="1"/>
      </w:numPr>
      <w:suppressAutoHyphens/>
      <w:spacing w:before="180" w:after="60" w:line="280" w:lineRule="atLeast"/>
      <w:contextualSpacing w:val="0"/>
    </w:pPr>
    <w:rPr>
      <w:rFonts w:cstheme="minorHAnsi"/>
      <w:color w:val="333333"/>
      <w:spacing w:val="-4"/>
    </w:rPr>
  </w:style>
  <w:style w:type="character" w:customStyle="1" w:styleId="AFMANumberedlistChar">
    <w:name w:val="AFMA Numbered list Char"/>
    <w:basedOn w:val="DefaultParagraphFont"/>
    <w:link w:val="AFMANumberedlist"/>
    <w:rsid w:val="00763382"/>
    <w:rPr>
      <w:rFonts w:ascii="Arial" w:hAnsi="Arial" w:cstheme="minorHAnsi"/>
      <w:color w:val="333333"/>
      <w:spacing w:val="-4"/>
      <w:sz w:val="2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sz w:val="2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semiHidden/>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D7"/>
    <w:rPr>
      <w:rFonts w:ascii="Arial" w:hAnsi="Arial"/>
      <w:sz w:val="20"/>
      <w:szCs w:val="20"/>
    </w:rPr>
  </w:style>
  <w:style w:type="character" w:styleId="FootnoteReference">
    <w:name w:val="footnote reference"/>
    <w:basedOn w:val="DefaultParagraphFont"/>
    <w:uiPriority w:val="99"/>
    <w:semiHidden/>
    <w:unhideWhenUsed/>
    <w:rsid w:val="00FA26D7"/>
    <w:rPr>
      <w:vertAlign w:val="superscript"/>
    </w:rPr>
  </w:style>
  <w:style w:type="character" w:customStyle="1" w:styleId="DLMHeaderandFooter">
    <w:name w:val="DLM Header and Footer"/>
    <w:basedOn w:val="DefaultParagraphFont"/>
    <w:uiPriority w:val="1"/>
    <w:qFormat/>
    <w:rsid w:val="0085005D"/>
    <w:rPr>
      <w:rFonts w:ascii="Arial" w:hAnsi="Arial"/>
      <w:b/>
      <w:color w:val="FF0000"/>
      <w:spacing w:val="-4"/>
      <w:sz w:val="40"/>
    </w:rPr>
  </w:style>
  <w:style w:type="paragraph" w:customStyle="1" w:styleId="Char">
    <w:name w:val="Char"/>
    <w:basedOn w:val="Normal"/>
    <w:rsid w:val="00C72036"/>
    <w:pPr>
      <w:spacing w:after="160" w:line="240" w:lineRule="exact"/>
    </w:pPr>
    <w:rPr>
      <w:rFonts w:ascii="Verdana" w:eastAsia="Times" w:hAnsi="Verdana" w:cs="Times New Roman"/>
      <w:sz w:val="20"/>
      <w:szCs w:val="20"/>
      <w:lang w:val="en-US"/>
    </w:rPr>
  </w:style>
  <w:style w:type="paragraph" w:customStyle="1" w:styleId="AFMAstandardCharCharChar">
    <w:name w:val="AFMA standard Char Char Char"/>
    <w:link w:val="AFMAstandardCharCharCharChar"/>
    <w:rsid w:val="00C72036"/>
    <w:pPr>
      <w:tabs>
        <w:tab w:val="left" w:pos="284"/>
        <w:tab w:val="left" w:pos="567"/>
        <w:tab w:val="left" w:pos="851"/>
      </w:tabs>
      <w:spacing w:after="120" w:line="240" w:lineRule="auto"/>
      <w:jc w:val="both"/>
    </w:pPr>
    <w:rPr>
      <w:rFonts w:ascii="Arial" w:eastAsia="Times" w:hAnsi="Arial" w:cs="Times New Roman"/>
      <w:szCs w:val="20"/>
    </w:rPr>
  </w:style>
  <w:style w:type="character" w:customStyle="1" w:styleId="AFMAstandardCharCharCharChar">
    <w:name w:val="AFMA standard Char Char Char Char"/>
    <w:link w:val="AFMAstandardCharCharChar"/>
    <w:rsid w:val="00C72036"/>
    <w:rPr>
      <w:rFonts w:ascii="Arial" w:eastAsia="Times" w:hAnsi="Arial" w:cs="Times New Roman"/>
      <w:szCs w:val="20"/>
    </w:rPr>
  </w:style>
  <w:style w:type="paragraph" w:styleId="Title">
    <w:name w:val="Title"/>
    <w:basedOn w:val="Normal"/>
    <w:next w:val="Normal"/>
    <w:link w:val="TitleChar"/>
    <w:uiPriority w:val="10"/>
    <w:qFormat/>
    <w:rsid w:val="00DF6E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E1A"/>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basedOn w:val="Normal"/>
    <w:rsid w:val="00883D82"/>
    <w:pPr>
      <w:spacing w:after="160" w:line="240" w:lineRule="exact"/>
    </w:pPr>
    <w:rPr>
      <w:rFonts w:ascii="Verdana" w:eastAsia="Times" w:hAnsi="Verdana" w:cs="Times New Roman"/>
      <w:sz w:val="20"/>
      <w:szCs w:val="20"/>
      <w:lang w:val="en-US"/>
    </w:rPr>
  </w:style>
  <w:style w:type="character" w:styleId="CommentReference">
    <w:name w:val="annotation reference"/>
    <w:basedOn w:val="DefaultParagraphFont"/>
    <w:uiPriority w:val="99"/>
    <w:semiHidden/>
    <w:unhideWhenUsed/>
    <w:rsid w:val="009A0896"/>
    <w:rPr>
      <w:sz w:val="16"/>
      <w:szCs w:val="16"/>
    </w:rPr>
  </w:style>
  <w:style w:type="paragraph" w:styleId="CommentText">
    <w:name w:val="annotation text"/>
    <w:basedOn w:val="Normal"/>
    <w:link w:val="CommentTextChar"/>
    <w:uiPriority w:val="99"/>
    <w:semiHidden/>
    <w:unhideWhenUsed/>
    <w:rsid w:val="009A0896"/>
    <w:pPr>
      <w:spacing w:line="240" w:lineRule="auto"/>
    </w:pPr>
    <w:rPr>
      <w:sz w:val="20"/>
      <w:szCs w:val="20"/>
    </w:rPr>
  </w:style>
  <w:style w:type="character" w:customStyle="1" w:styleId="CommentTextChar">
    <w:name w:val="Comment Text Char"/>
    <w:basedOn w:val="DefaultParagraphFont"/>
    <w:link w:val="CommentText"/>
    <w:uiPriority w:val="99"/>
    <w:semiHidden/>
    <w:rsid w:val="009A089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0896"/>
    <w:rPr>
      <w:b/>
      <w:bCs/>
    </w:rPr>
  </w:style>
  <w:style w:type="character" w:customStyle="1" w:styleId="CommentSubjectChar">
    <w:name w:val="Comment Subject Char"/>
    <w:basedOn w:val="CommentTextChar"/>
    <w:link w:val="CommentSubject"/>
    <w:uiPriority w:val="99"/>
    <w:semiHidden/>
    <w:rsid w:val="009A0896"/>
    <w:rPr>
      <w:rFonts w:ascii="Arial" w:hAnsi="Arial"/>
      <w:b/>
      <w:bCs/>
      <w:sz w:val="20"/>
      <w:szCs w:val="20"/>
    </w:rPr>
  </w:style>
  <w:style w:type="paragraph" w:styleId="Revision">
    <w:name w:val="Revision"/>
    <w:hidden/>
    <w:uiPriority w:val="99"/>
    <w:semiHidden/>
    <w:rsid w:val="009A0896"/>
    <w:pPr>
      <w:spacing w:after="0" w:line="240" w:lineRule="auto"/>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E8"/>
    <w:pPr>
      <w:spacing w:before="120" w:after="120"/>
    </w:pPr>
    <w:rPr>
      <w:rFonts w:ascii="Arial" w:hAnsi="Arial"/>
      <w:sz w:val="24"/>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EC10E8"/>
    <w:pPr>
      <w:keepNext/>
      <w:keepLines/>
      <w:suppressAutoHyphens/>
      <w:spacing w:before="240" w:after="240" w:line="280" w:lineRule="atLeast"/>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EC10E8"/>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033A96"/>
    <w:pPr>
      <w:suppressAutoHyphens/>
      <w:spacing w:before="180" w:after="100" w:line="280" w:lineRule="atLeast"/>
      <w:ind w:left="200"/>
    </w:pPr>
    <w:rPr>
      <w:color w:val="333333"/>
      <w:spacing w:val="-4"/>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763382"/>
    <w:pPr>
      <w:numPr>
        <w:numId w:val="1"/>
      </w:numPr>
      <w:suppressAutoHyphens/>
      <w:spacing w:before="180" w:after="60" w:line="280" w:lineRule="atLeast"/>
      <w:contextualSpacing w:val="0"/>
    </w:pPr>
    <w:rPr>
      <w:rFonts w:cstheme="minorHAnsi"/>
      <w:color w:val="333333"/>
      <w:spacing w:val="-4"/>
    </w:rPr>
  </w:style>
  <w:style w:type="character" w:customStyle="1" w:styleId="AFMANumberedlistChar">
    <w:name w:val="AFMA Numbered list Char"/>
    <w:basedOn w:val="DefaultParagraphFont"/>
    <w:link w:val="AFMANumberedlist"/>
    <w:rsid w:val="00763382"/>
    <w:rPr>
      <w:rFonts w:ascii="Arial" w:hAnsi="Arial" w:cstheme="minorHAnsi"/>
      <w:color w:val="333333"/>
      <w:spacing w:val="-4"/>
      <w:sz w:val="2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sz w:val="2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semiHidden/>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D7"/>
    <w:rPr>
      <w:rFonts w:ascii="Arial" w:hAnsi="Arial"/>
      <w:sz w:val="20"/>
      <w:szCs w:val="20"/>
    </w:rPr>
  </w:style>
  <w:style w:type="character" w:styleId="FootnoteReference">
    <w:name w:val="footnote reference"/>
    <w:basedOn w:val="DefaultParagraphFont"/>
    <w:uiPriority w:val="99"/>
    <w:semiHidden/>
    <w:unhideWhenUsed/>
    <w:rsid w:val="00FA26D7"/>
    <w:rPr>
      <w:vertAlign w:val="superscript"/>
    </w:rPr>
  </w:style>
  <w:style w:type="character" w:customStyle="1" w:styleId="DLMHeaderandFooter">
    <w:name w:val="DLM Header and Footer"/>
    <w:basedOn w:val="DefaultParagraphFont"/>
    <w:uiPriority w:val="1"/>
    <w:qFormat/>
    <w:rsid w:val="0085005D"/>
    <w:rPr>
      <w:rFonts w:ascii="Arial" w:hAnsi="Arial"/>
      <w:b/>
      <w:color w:val="FF0000"/>
      <w:spacing w:val="-4"/>
      <w:sz w:val="40"/>
    </w:rPr>
  </w:style>
  <w:style w:type="paragraph" w:customStyle="1" w:styleId="Char">
    <w:name w:val="Char"/>
    <w:basedOn w:val="Normal"/>
    <w:rsid w:val="00C72036"/>
    <w:pPr>
      <w:spacing w:after="160" w:line="240" w:lineRule="exact"/>
    </w:pPr>
    <w:rPr>
      <w:rFonts w:ascii="Verdana" w:eastAsia="Times" w:hAnsi="Verdana" w:cs="Times New Roman"/>
      <w:sz w:val="20"/>
      <w:szCs w:val="20"/>
      <w:lang w:val="en-US"/>
    </w:rPr>
  </w:style>
  <w:style w:type="paragraph" w:customStyle="1" w:styleId="AFMAstandardCharCharChar">
    <w:name w:val="AFMA standard Char Char Char"/>
    <w:link w:val="AFMAstandardCharCharCharChar"/>
    <w:rsid w:val="00C72036"/>
    <w:pPr>
      <w:tabs>
        <w:tab w:val="left" w:pos="284"/>
        <w:tab w:val="left" w:pos="567"/>
        <w:tab w:val="left" w:pos="851"/>
      </w:tabs>
      <w:spacing w:after="120" w:line="240" w:lineRule="auto"/>
      <w:jc w:val="both"/>
    </w:pPr>
    <w:rPr>
      <w:rFonts w:ascii="Arial" w:eastAsia="Times" w:hAnsi="Arial" w:cs="Times New Roman"/>
      <w:szCs w:val="20"/>
    </w:rPr>
  </w:style>
  <w:style w:type="character" w:customStyle="1" w:styleId="AFMAstandardCharCharCharChar">
    <w:name w:val="AFMA standard Char Char Char Char"/>
    <w:link w:val="AFMAstandardCharCharChar"/>
    <w:rsid w:val="00C72036"/>
    <w:rPr>
      <w:rFonts w:ascii="Arial" w:eastAsia="Times" w:hAnsi="Arial" w:cs="Times New Roman"/>
      <w:szCs w:val="20"/>
    </w:rPr>
  </w:style>
  <w:style w:type="paragraph" w:styleId="Title">
    <w:name w:val="Title"/>
    <w:basedOn w:val="Normal"/>
    <w:next w:val="Normal"/>
    <w:link w:val="TitleChar"/>
    <w:uiPriority w:val="10"/>
    <w:qFormat/>
    <w:rsid w:val="00DF6E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E1A"/>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basedOn w:val="Normal"/>
    <w:rsid w:val="00883D82"/>
    <w:pPr>
      <w:spacing w:after="160" w:line="240" w:lineRule="exact"/>
    </w:pPr>
    <w:rPr>
      <w:rFonts w:ascii="Verdana" w:eastAsia="Times" w:hAnsi="Verdana" w:cs="Times New Roman"/>
      <w:sz w:val="20"/>
      <w:szCs w:val="20"/>
      <w:lang w:val="en-US"/>
    </w:rPr>
  </w:style>
  <w:style w:type="character" w:styleId="CommentReference">
    <w:name w:val="annotation reference"/>
    <w:basedOn w:val="DefaultParagraphFont"/>
    <w:uiPriority w:val="99"/>
    <w:semiHidden/>
    <w:unhideWhenUsed/>
    <w:rsid w:val="009A0896"/>
    <w:rPr>
      <w:sz w:val="16"/>
      <w:szCs w:val="16"/>
    </w:rPr>
  </w:style>
  <w:style w:type="paragraph" w:styleId="CommentText">
    <w:name w:val="annotation text"/>
    <w:basedOn w:val="Normal"/>
    <w:link w:val="CommentTextChar"/>
    <w:uiPriority w:val="99"/>
    <w:semiHidden/>
    <w:unhideWhenUsed/>
    <w:rsid w:val="009A0896"/>
    <w:pPr>
      <w:spacing w:line="240" w:lineRule="auto"/>
    </w:pPr>
    <w:rPr>
      <w:sz w:val="20"/>
      <w:szCs w:val="20"/>
    </w:rPr>
  </w:style>
  <w:style w:type="character" w:customStyle="1" w:styleId="CommentTextChar">
    <w:name w:val="Comment Text Char"/>
    <w:basedOn w:val="DefaultParagraphFont"/>
    <w:link w:val="CommentText"/>
    <w:uiPriority w:val="99"/>
    <w:semiHidden/>
    <w:rsid w:val="009A089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A0896"/>
    <w:rPr>
      <w:b/>
      <w:bCs/>
    </w:rPr>
  </w:style>
  <w:style w:type="character" w:customStyle="1" w:styleId="CommentSubjectChar">
    <w:name w:val="Comment Subject Char"/>
    <w:basedOn w:val="CommentTextChar"/>
    <w:link w:val="CommentSubject"/>
    <w:uiPriority w:val="99"/>
    <w:semiHidden/>
    <w:rsid w:val="009A0896"/>
    <w:rPr>
      <w:rFonts w:ascii="Arial" w:hAnsi="Arial"/>
      <w:b/>
      <w:bCs/>
      <w:sz w:val="20"/>
      <w:szCs w:val="20"/>
    </w:rPr>
  </w:style>
  <w:style w:type="paragraph" w:styleId="Revision">
    <w:name w:val="Revision"/>
    <w:hidden/>
    <w:uiPriority w:val="99"/>
    <w:semiHidden/>
    <w:rsid w:val="009A0896"/>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hyperlink" Target="http://www.afma.gov.au" TargetMode="External"/><Relationship Id="rId1" Type="http://schemas.openxmlformats.org/officeDocument/2006/relationships/hyperlink" Target="http://www.af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EO_COMMITTEES\TRLRAG_EO\Meetings\TRL_RAG_14_26-27%20August%202015\Meeting%20Record\20150831%20-%20TRLRAG%2014%20Meeting%20Rec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92BB-006C-4B75-AA92-042B8004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20150831 - TRLRAG 14 Meeting Record</Template>
  <TotalTime>3</TotalTime>
  <Pages>8</Pages>
  <Words>1970</Words>
  <Characters>11231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4</cp:revision>
  <cp:lastPrinted>2016-03-29T23:13:00Z</cp:lastPrinted>
  <dcterms:created xsi:type="dcterms:W3CDTF">2016-03-02T00:46:00Z</dcterms:created>
  <dcterms:modified xsi:type="dcterms:W3CDTF">2016-03-29T23:14:00Z</dcterms:modified>
</cp:coreProperties>
</file>