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FCE" w:rsidRPr="006518C8" w:rsidRDefault="00735E4F" w:rsidP="005B1FCE">
      <w:pPr>
        <w:rPr>
          <w:sz w:val="32"/>
          <w:szCs w:val="32"/>
        </w:rPr>
      </w:pPr>
      <w:r>
        <w:rPr>
          <w:sz w:val="32"/>
          <w:szCs w:val="32"/>
        </w:rPr>
        <w:t>Use of TIB Docket-Book</w:t>
      </w:r>
      <w:r w:rsidR="005B1FCE">
        <w:rPr>
          <w:sz w:val="32"/>
          <w:szCs w:val="32"/>
        </w:rPr>
        <w:t xml:space="preserve"> Data to construct an </w:t>
      </w:r>
      <w:r w:rsidR="005B1FCE" w:rsidRPr="006518C8">
        <w:rPr>
          <w:sz w:val="32"/>
          <w:szCs w:val="32"/>
        </w:rPr>
        <w:t xml:space="preserve">Annual Abundance </w:t>
      </w:r>
      <w:r w:rsidR="005B1FCE">
        <w:rPr>
          <w:sz w:val="32"/>
          <w:szCs w:val="32"/>
        </w:rPr>
        <w:t>Index for T</w:t>
      </w:r>
      <w:r w:rsidR="00EB0EFB">
        <w:rPr>
          <w:sz w:val="32"/>
          <w:szCs w:val="32"/>
        </w:rPr>
        <w:t xml:space="preserve">orres Strait Rock Lobster </w:t>
      </w:r>
      <w:r w:rsidR="00F46CDD">
        <w:rPr>
          <w:sz w:val="32"/>
          <w:szCs w:val="32"/>
        </w:rPr>
        <w:t>–</w:t>
      </w:r>
      <w:r w:rsidR="00863F52">
        <w:rPr>
          <w:sz w:val="32"/>
          <w:szCs w:val="32"/>
        </w:rPr>
        <w:t xml:space="preserve"> 2016</w:t>
      </w:r>
      <w:r w:rsidR="00F46CDD">
        <w:rPr>
          <w:sz w:val="32"/>
          <w:szCs w:val="32"/>
        </w:rPr>
        <w:t xml:space="preserve"> Update</w:t>
      </w:r>
    </w:p>
    <w:p w:rsidR="005B1FCE" w:rsidRDefault="005B1FCE" w:rsidP="005B1FCE"/>
    <w:p w:rsidR="005B1FCE" w:rsidRPr="004A4BF2" w:rsidRDefault="00B4044E" w:rsidP="00B4044E">
      <w:pPr>
        <w:spacing w:after="120"/>
        <w:rPr>
          <w:i/>
        </w:rPr>
      </w:pPr>
      <w:r>
        <w:rPr>
          <w:i/>
        </w:rPr>
        <w:t>Robert Campbell, Darren Dennis, Eva Plaganyi, Roy Deng</w:t>
      </w:r>
    </w:p>
    <w:p w:rsidR="005B1FCE" w:rsidRDefault="005B1FCE" w:rsidP="005B1FCE">
      <w:r>
        <w:t xml:space="preserve">CSIRO </w:t>
      </w:r>
      <w:r w:rsidR="00B9499D">
        <w:t>Oceans and Atmosphere</w:t>
      </w:r>
      <w:r>
        <w:t xml:space="preserve"> </w:t>
      </w:r>
    </w:p>
    <w:p w:rsidR="008659B1" w:rsidRDefault="008659B1" w:rsidP="005B1FCE"/>
    <w:p w:rsidR="005B1FCE" w:rsidRDefault="00114717" w:rsidP="005B1FCE">
      <w:r>
        <w:t>December</w:t>
      </w:r>
      <w:r w:rsidR="00F016BA">
        <w:t xml:space="preserve"> 2016</w:t>
      </w:r>
    </w:p>
    <w:p w:rsidR="005B1FCE" w:rsidRDefault="005B1FCE" w:rsidP="005B1FCE"/>
    <w:p w:rsidR="005B1FCE" w:rsidRPr="00A97F65" w:rsidRDefault="005B1FCE" w:rsidP="005B1FCE">
      <w:pPr>
        <w:rPr>
          <w:b/>
        </w:rPr>
      </w:pPr>
      <w:r>
        <w:rPr>
          <w:b/>
        </w:rPr>
        <w:t xml:space="preserve">1. </w:t>
      </w:r>
      <w:r w:rsidR="00587A46">
        <w:rPr>
          <w:b/>
        </w:rPr>
        <w:t>Introduction</w:t>
      </w:r>
    </w:p>
    <w:p w:rsidR="00CE0D49" w:rsidRDefault="00CE0D49"/>
    <w:p w:rsidR="00587A46" w:rsidRDefault="00786714" w:rsidP="009F6112">
      <w:pPr>
        <w:jc w:val="both"/>
      </w:pPr>
      <w:r>
        <w:t>The Buyers and Processors Docket Book (TDB01)</w:t>
      </w:r>
      <w:r w:rsidR="00587A46">
        <w:t>,</w:t>
      </w:r>
      <w:r>
        <w:t xml:space="preserve"> used in the TIB sector of the Torres Strait rock lobster fishery</w:t>
      </w:r>
      <w:r w:rsidR="00587A46">
        <w:t>,</w:t>
      </w:r>
      <w:r>
        <w:t xml:space="preserve"> records the catch sold by fishers (known as sellers on the docket-book) at the end of a fishing trip. </w:t>
      </w:r>
      <w:r w:rsidR="003837E6">
        <w:t>However, u</w:t>
      </w:r>
      <w:r w:rsidR="005C6AD7">
        <w:t>nlike the l</w:t>
      </w:r>
      <w:r w:rsidR="000C0DA8">
        <w:t xml:space="preserve">ogbook for the TVH sector of fishery, which requires catch and effort data to be recorded for </w:t>
      </w:r>
      <w:r w:rsidR="006869FD">
        <w:t xml:space="preserve">individual </w:t>
      </w:r>
      <w:r w:rsidR="000C0DA8">
        <w:t>fishing operation</w:t>
      </w:r>
      <w:r w:rsidR="006869FD">
        <w:t xml:space="preserve">s related to each </w:t>
      </w:r>
      <w:r w:rsidR="002602CD">
        <w:t xml:space="preserve">vessel </w:t>
      </w:r>
      <w:r w:rsidR="006869FD">
        <w:t>tender</w:t>
      </w:r>
      <w:r w:rsidR="000C0DA8">
        <w:t xml:space="preserve">, </w:t>
      </w:r>
      <w:r w:rsidR="00587A46">
        <w:t xml:space="preserve">the </w:t>
      </w:r>
      <w:r w:rsidR="003837E6">
        <w:t>docket-b</w:t>
      </w:r>
      <w:r w:rsidR="000C0DA8">
        <w:t xml:space="preserve">ook requires only aggregate catch and effort data to be recorded at the end of each </w:t>
      </w:r>
      <w:r w:rsidR="006869FD">
        <w:t xml:space="preserve">trip. </w:t>
      </w:r>
      <w:r>
        <w:t xml:space="preserve">Due to the finer-scale nature of the catch and effort information, the </w:t>
      </w:r>
      <w:r w:rsidR="00587A46">
        <w:t xml:space="preserve">use of the </w:t>
      </w:r>
      <w:r>
        <w:t xml:space="preserve">TVH logbook data has been preferred </w:t>
      </w:r>
      <w:r w:rsidR="00587A46">
        <w:t>for</w:t>
      </w:r>
      <w:r>
        <w:t xml:space="preserve"> construct</w:t>
      </w:r>
      <w:r w:rsidR="00587A46">
        <w:t>ing</w:t>
      </w:r>
      <w:r>
        <w:t xml:space="preserve"> abundance indices for this fishery. </w:t>
      </w:r>
      <w:r w:rsidR="00587A46">
        <w:t xml:space="preserve">Nevertheless, there is interest </w:t>
      </w:r>
      <w:r w:rsidR="00865AD9">
        <w:t>as to</w:t>
      </w:r>
      <w:r w:rsidR="00587A46">
        <w:t xml:space="preserve"> whether the data recorded on the TIB docket-book can also be used for this purpose and</w:t>
      </w:r>
      <w:r w:rsidR="00865AD9">
        <w:t xml:space="preserve"> to this end</w:t>
      </w:r>
      <w:r w:rsidR="00587A46">
        <w:t xml:space="preserve"> the analyses presented in this document represent the first attempt to use </w:t>
      </w:r>
      <w:r w:rsidR="00865AD9">
        <w:t>the TIB docket-book</w:t>
      </w:r>
      <w:r w:rsidR="00587A46">
        <w:t xml:space="preserve"> data for constructing an abundance index for the Torres Strait rock lobster fishery.</w:t>
      </w:r>
    </w:p>
    <w:p w:rsidR="00587A46" w:rsidRDefault="00587A46" w:rsidP="009F6112">
      <w:pPr>
        <w:jc w:val="both"/>
      </w:pPr>
    </w:p>
    <w:p w:rsidR="00587A46" w:rsidRPr="00A97F65" w:rsidRDefault="00587A46" w:rsidP="00587A46">
      <w:pPr>
        <w:rPr>
          <w:b/>
        </w:rPr>
      </w:pPr>
      <w:r>
        <w:rPr>
          <w:b/>
        </w:rPr>
        <w:t xml:space="preserve">2. The TIB Docket-Book </w:t>
      </w:r>
      <w:r w:rsidRPr="00A97F65">
        <w:rPr>
          <w:b/>
        </w:rPr>
        <w:t>Data</w:t>
      </w:r>
    </w:p>
    <w:p w:rsidR="00587A46" w:rsidRDefault="00587A46" w:rsidP="009F6112">
      <w:pPr>
        <w:jc w:val="both"/>
      </w:pPr>
    </w:p>
    <w:p w:rsidR="00AA51CE" w:rsidRDefault="0007727F" w:rsidP="009F6112">
      <w:pPr>
        <w:jc w:val="both"/>
      </w:pPr>
      <w:r>
        <w:t>A copy of the DB0</w:t>
      </w:r>
      <w:r w:rsidR="00C90046">
        <w:t xml:space="preserve">1 docket-book is shown in Appendix A. </w:t>
      </w:r>
      <w:r w:rsidR="001D6C6A">
        <w:t xml:space="preserve">The </w:t>
      </w:r>
      <w:r w:rsidR="00216DB7">
        <w:t>docket-book records the transaction date, the name of the seller together with details of the catch</w:t>
      </w:r>
      <w:r w:rsidR="00451781">
        <w:t xml:space="preserve"> (in weight)</w:t>
      </w:r>
      <w:r w:rsidR="00216DB7">
        <w:t xml:space="preserve"> and the price obtained. Additional information is also provided regarding the vessel, the number of crew, the number of days fished and the fishing methods used. </w:t>
      </w:r>
      <w:r w:rsidR="00F9359D">
        <w:t xml:space="preserve">This information </w:t>
      </w:r>
      <w:r w:rsidR="00560160">
        <w:t>therefore provides a measure of</w:t>
      </w:r>
      <w:r w:rsidR="00F9359D">
        <w:t xml:space="preserve"> both the </w:t>
      </w:r>
      <w:r w:rsidR="00560160">
        <w:t xml:space="preserve">catch and effort for a given seller (or fisher) during a fishing trip and hence can be used to gain a measure of the catch rate (weight of lobsters caught per day fished) during that trip. </w:t>
      </w:r>
      <w:r w:rsidR="00216DB7">
        <w:t>However, there are a</w:t>
      </w:r>
      <w:r w:rsidR="00AA51CE">
        <w:t xml:space="preserve"> number of</w:t>
      </w:r>
      <w:r w:rsidR="00786714">
        <w:t xml:space="preserve"> </w:t>
      </w:r>
      <w:r w:rsidR="00AA51CE">
        <w:t xml:space="preserve">issues with the docket-book system </w:t>
      </w:r>
      <w:r w:rsidR="00216DB7">
        <w:t>which create</w:t>
      </w:r>
      <w:r w:rsidR="00786714">
        <w:t xml:space="preserve"> problems with using </w:t>
      </w:r>
      <w:r w:rsidR="00216DB7">
        <w:t>this</w:t>
      </w:r>
      <w:r w:rsidR="00786714">
        <w:t xml:space="preserve"> data for </w:t>
      </w:r>
      <w:r w:rsidR="00216DB7">
        <w:t>estimating the total catch and effort in the TIB fishery</w:t>
      </w:r>
      <w:r w:rsidR="00AA51CE">
        <w:t>. These issues include:</w:t>
      </w:r>
    </w:p>
    <w:p w:rsidR="00AA51CE" w:rsidRDefault="00AA51CE" w:rsidP="003A234C">
      <w:pPr>
        <w:pStyle w:val="ListParagraph"/>
        <w:numPr>
          <w:ilvl w:val="0"/>
          <w:numId w:val="4"/>
        </w:numPr>
        <w:ind w:hanging="153"/>
        <w:jc w:val="both"/>
      </w:pPr>
      <w:r>
        <w:t>The requirement that completion of the docket-book is only voluntary,</w:t>
      </w:r>
    </w:p>
    <w:p w:rsidR="00AA51CE" w:rsidRDefault="00AA51CE" w:rsidP="003A234C">
      <w:pPr>
        <w:pStyle w:val="ListParagraph"/>
        <w:numPr>
          <w:ilvl w:val="0"/>
          <w:numId w:val="4"/>
        </w:numPr>
        <w:ind w:hanging="153"/>
        <w:jc w:val="both"/>
      </w:pPr>
      <w:r>
        <w:t xml:space="preserve"> The fact that catches recorded in the docket-book can also be reported elsewhere, including the TVH logbook,</w:t>
      </w:r>
    </w:p>
    <w:p w:rsidR="005C6AD7" w:rsidRDefault="00AA51CE" w:rsidP="003A234C">
      <w:pPr>
        <w:pStyle w:val="ListParagraph"/>
        <w:numPr>
          <w:ilvl w:val="0"/>
          <w:numId w:val="4"/>
        </w:numPr>
        <w:ind w:hanging="153"/>
        <w:jc w:val="both"/>
      </w:pPr>
      <w:r>
        <w:t xml:space="preserve">The fact that processors can also record catches </w:t>
      </w:r>
      <w:r w:rsidR="005C6AD7">
        <w:t>in the docket-book, essentially creating duplicates.</w:t>
      </w:r>
    </w:p>
    <w:p w:rsidR="007F0082" w:rsidRDefault="00451781" w:rsidP="005C6AD7">
      <w:pPr>
        <w:pStyle w:val="ListParagraph"/>
        <w:ind w:left="0"/>
        <w:jc w:val="both"/>
      </w:pPr>
      <w:r>
        <w:t xml:space="preserve">Given the duplication of catch information from both the TVH sector and processors which occurs in the docket-book data, several filters are applied to this data to remove these duplicates. </w:t>
      </w:r>
      <w:r w:rsidR="00AE0306">
        <w:t xml:space="preserve">In particular, records are </w:t>
      </w:r>
      <w:r w:rsidR="00347CF8">
        <w:t>checked</w:t>
      </w:r>
      <w:r w:rsidR="00AE0306">
        <w:t xml:space="preserve"> where the Seller-Type is recorded as </w:t>
      </w:r>
      <w:r w:rsidR="00B36542">
        <w:t>‘</w:t>
      </w:r>
      <w:r w:rsidR="00AE0306">
        <w:t xml:space="preserve">TVH’, the </w:t>
      </w:r>
      <w:r w:rsidR="00347CF8">
        <w:t xml:space="preserve">Related-Log field indicates the catch has been recorded elsewhere, the </w:t>
      </w:r>
      <w:r w:rsidR="00AE0306">
        <w:t xml:space="preserve">vessel-symbol begins with an ‘F’ (as this </w:t>
      </w:r>
      <w:r w:rsidR="00347CF8">
        <w:t xml:space="preserve">often </w:t>
      </w:r>
      <w:r w:rsidR="00AE0306">
        <w:t xml:space="preserve">indicates the vessel is a TVH vessel), and where the </w:t>
      </w:r>
      <w:r w:rsidR="00B36542">
        <w:t>S</w:t>
      </w:r>
      <w:r w:rsidR="00AE0306">
        <w:t>eller</w:t>
      </w:r>
      <w:r w:rsidR="00B36542">
        <w:t>-Name</w:t>
      </w:r>
      <w:r w:rsidR="00AE0306">
        <w:t xml:space="preserve"> has been recorded as </w:t>
      </w:r>
      <w:r w:rsidR="00790D2B">
        <w:t>a processor</w:t>
      </w:r>
      <w:r w:rsidR="00B36542">
        <w:t>.</w:t>
      </w:r>
      <w:r w:rsidR="00AE0306">
        <w:t xml:space="preserve"> </w:t>
      </w:r>
      <w:r w:rsidR="005C6AD7">
        <w:t>Further to these issues, several TIB boats only record their catch in</w:t>
      </w:r>
      <w:r w:rsidR="00347CF8">
        <w:t xml:space="preserve"> the TVH-related logbook</w:t>
      </w:r>
      <w:r w:rsidR="00AA51CE">
        <w:t xml:space="preserve"> </w:t>
      </w:r>
      <w:r w:rsidR="005C6AD7">
        <w:t xml:space="preserve">and these catch records need to be transferred to the TIB database. </w:t>
      </w:r>
    </w:p>
    <w:p w:rsidR="007F0082" w:rsidRDefault="007F0082" w:rsidP="005C6AD7">
      <w:pPr>
        <w:pStyle w:val="ListParagraph"/>
        <w:ind w:left="0"/>
        <w:jc w:val="both"/>
      </w:pPr>
    </w:p>
    <w:p w:rsidR="00802680" w:rsidRDefault="005C6AD7" w:rsidP="004009B2">
      <w:pPr>
        <w:pStyle w:val="ListParagraph"/>
        <w:ind w:left="0"/>
        <w:jc w:val="both"/>
      </w:pPr>
      <w:r>
        <w:t xml:space="preserve">Considerable effort has gone into understanding the nature of both the docket-book and logbook data </w:t>
      </w:r>
      <w:r w:rsidR="00B82C05">
        <w:t>so as to identify</w:t>
      </w:r>
      <w:r>
        <w:t xml:space="preserve"> the catch records </w:t>
      </w:r>
      <w:r w:rsidR="00B82C05">
        <w:t xml:space="preserve">that should be assigned </w:t>
      </w:r>
      <w:r w:rsidR="007E4441">
        <w:t xml:space="preserve">to the TIB fishery </w:t>
      </w:r>
      <w:r w:rsidR="00841A1A">
        <w:t>(Campbell, 2016a</w:t>
      </w:r>
      <w:proofErr w:type="gramStart"/>
      <w:r w:rsidR="00841A1A">
        <w:t>,b</w:t>
      </w:r>
      <w:proofErr w:type="gramEnd"/>
      <w:r w:rsidR="00841A1A">
        <w:t>) and a</w:t>
      </w:r>
      <w:r w:rsidR="00CB1E97">
        <w:t xml:space="preserve"> total of 72,930</w:t>
      </w:r>
      <w:r w:rsidR="00DA44D4">
        <w:t xml:space="preserve"> catch records </w:t>
      </w:r>
      <w:r w:rsidR="00841A1A">
        <w:t xml:space="preserve">recorded in the docket-book </w:t>
      </w:r>
      <w:r w:rsidR="00DA44D4">
        <w:t xml:space="preserve">have </w:t>
      </w:r>
      <w:r w:rsidR="007E4441">
        <w:t xml:space="preserve">now </w:t>
      </w:r>
      <w:r w:rsidR="00DA44D4">
        <w:lastRenderedPageBreak/>
        <w:t xml:space="preserve">been attributed to the TIB fishery </w:t>
      </w:r>
      <w:r w:rsidR="00E03E5B">
        <w:t>covering</w:t>
      </w:r>
      <w:r w:rsidR="00DA44D4">
        <w:t xml:space="preserve"> the years </w:t>
      </w:r>
      <w:r w:rsidR="00E03E5B">
        <w:t>2004 to</w:t>
      </w:r>
      <w:r w:rsidR="006B7E92">
        <w:t xml:space="preserve"> 2016</w:t>
      </w:r>
      <w:r w:rsidR="00841A1A">
        <w:t xml:space="preserve">. </w:t>
      </w:r>
      <w:r w:rsidR="007F0082">
        <w:t>The</w:t>
      </w:r>
      <w:r w:rsidR="007E2BDD">
        <w:t xml:space="preserve"> few docket-book records having a zero catch of lobsters are not included</w:t>
      </w:r>
      <w:r w:rsidR="00543382">
        <w:t xml:space="preserve"> in this total</w:t>
      </w:r>
      <w:r w:rsidR="007E2BDD">
        <w:t xml:space="preserve"> as it is assumed that other species may have been targeted on these trips.</w:t>
      </w:r>
      <w:r w:rsidR="003E1DA1">
        <w:t xml:space="preserve"> </w:t>
      </w:r>
    </w:p>
    <w:p w:rsidR="00802680" w:rsidRDefault="00802680" w:rsidP="004009B2">
      <w:pPr>
        <w:pStyle w:val="ListParagraph"/>
        <w:ind w:left="0"/>
        <w:jc w:val="both"/>
      </w:pPr>
    </w:p>
    <w:p w:rsidR="000D6FA8" w:rsidRDefault="003676F0" w:rsidP="004009B2">
      <w:pPr>
        <w:pStyle w:val="ListParagraph"/>
        <w:ind w:left="0"/>
        <w:jc w:val="both"/>
      </w:pPr>
      <w:r>
        <w:t xml:space="preserve">The number of </w:t>
      </w:r>
      <w:r w:rsidR="00164675">
        <w:t>catch</w:t>
      </w:r>
      <w:r>
        <w:t xml:space="preserve"> records </w:t>
      </w:r>
      <w:r w:rsidR="00802680">
        <w:t xml:space="preserve">and the associated </w:t>
      </w:r>
      <w:r w:rsidR="00164675">
        <w:t xml:space="preserve">estimate of the total </w:t>
      </w:r>
      <w:r w:rsidR="00802680">
        <w:t xml:space="preserve">catch </w:t>
      </w:r>
      <w:r w:rsidR="00164675">
        <w:t xml:space="preserve">of rock lobsters in the TIB sector </w:t>
      </w:r>
      <w:r w:rsidR="00802680">
        <w:t>each</w:t>
      </w:r>
      <w:r>
        <w:t xml:space="preserve"> year is shown in Table 1</w:t>
      </w:r>
      <w:r w:rsidR="00802680">
        <w:t xml:space="preserve">. </w:t>
      </w:r>
      <w:r w:rsidR="00164675">
        <w:t>T</w:t>
      </w:r>
      <w:r w:rsidR="00615BF9">
        <w:t xml:space="preserve">he </w:t>
      </w:r>
      <w:r w:rsidR="00593C2E">
        <w:t>number of records remained</w:t>
      </w:r>
      <w:r w:rsidR="001C4829">
        <w:t xml:space="preserve"> above 5,000 between 2004 and 2011 but </w:t>
      </w:r>
      <w:r w:rsidR="000D6FA8">
        <w:t xml:space="preserve">decreased significantly </w:t>
      </w:r>
      <w:r w:rsidR="001C4829">
        <w:t xml:space="preserve">in 2012 and </w:t>
      </w:r>
      <w:r w:rsidR="00593C2E">
        <w:t xml:space="preserve">again in </w:t>
      </w:r>
      <w:r w:rsidR="001C4829">
        <w:t>2013 (when there were only 1336 records) but has since increased</w:t>
      </w:r>
      <w:r w:rsidR="000D6FA8">
        <w:t xml:space="preserve"> </w:t>
      </w:r>
      <w:r w:rsidR="001C4829">
        <w:t xml:space="preserve">and has been back above 5000 records for the past two years. </w:t>
      </w:r>
      <w:r w:rsidR="00593C2E">
        <w:t xml:space="preserve">The decline in the number of catch records </w:t>
      </w:r>
      <w:r w:rsidR="00DA057C">
        <w:t>in 2013</w:t>
      </w:r>
      <w:r w:rsidR="00593C2E">
        <w:t xml:space="preserve"> was attributed to</w:t>
      </w:r>
      <w:r w:rsidR="000D6FA8">
        <w:t xml:space="preserve"> </w:t>
      </w:r>
      <w:r w:rsidR="00DA057C">
        <w:t xml:space="preserve">the fact that </w:t>
      </w:r>
      <w:r w:rsidR="00593C2E">
        <w:t>a significant portion (41</w:t>
      </w:r>
      <w:r w:rsidR="000D6FA8">
        <w:t xml:space="preserve">%) of the catch </w:t>
      </w:r>
      <w:r w:rsidR="00DA057C">
        <w:t xml:space="preserve">had </w:t>
      </w:r>
      <w:r w:rsidR="000D6FA8">
        <w:t xml:space="preserve">not </w:t>
      </w:r>
      <w:r w:rsidR="00DA057C">
        <w:t xml:space="preserve">been recorded in the </w:t>
      </w:r>
      <w:r w:rsidR="000D6FA8">
        <w:t xml:space="preserve">docket-book but instead </w:t>
      </w:r>
      <w:r w:rsidR="00A515C7">
        <w:t>was</w:t>
      </w:r>
      <w:r w:rsidR="000D6FA8">
        <w:t xml:space="preserve"> </w:t>
      </w:r>
      <w:r w:rsidR="00574029">
        <w:t xml:space="preserve">solely </w:t>
      </w:r>
      <w:r w:rsidR="000D6FA8">
        <w:t xml:space="preserve">attributed to </w:t>
      </w:r>
      <w:r w:rsidR="006514B7">
        <w:t xml:space="preserve">aggregate catch </w:t>
      </w:r>
      <w:r w:rsidR="000D6FA8">
        <w:t xml:space="preserve">records added to </w:t>
      </w:r>
      <w:r w:rsidR="00DA057C">
        <w:t xml:space="preserve">the TIB database to account for lobsters </w:t>
      </w:r>
      <w:r w:rsidR="006514B7">
        <w:t>received by processors</w:t>
      </w:r>
      <w:r w:rsidR="000D6FA8">
        <w:t xml:space="preserve">. </w:t>
      </w:r>
      <w:r w:rsidR="00DA057C">
        <w:t>This situation has persisted since that time with 45%, 44% and 48% of the total catch in 2014, 2015 and 2016 respectively been attributed to aggregate annual catch records supplied by processors instead of being recorded in the docket-book.</w:t>
      </w:r>
      <w:r w:rsidR="00A515C7">
        <w:t xml:space="preserve"> </w:t>
      </w:r>
      <w:r w:rsidR="000D6FA8">
        <w:t xml:space="preserve">Whether or not other caches have also not been recorded in the docket-book during </w:t>
      </w:r>
      <w:r w:rsidR="00DA057C">
        <w:t>these years</w:t>
      </w:r>
      <w:r w:rsidR="00A2258D">
        <w:t xml:space="preserve"> or in other years</w:t>
      </w:r>
      <w:r w:rsidR="00DA057C">
        <w:t xml:space="preserve"> remains uncertain</w:t>
      </w:r>
      <w:r w:rsidR="00A2258D">
        <w:t>.</w:t>
      </w:r>
    </w:p>
    <w:p w:rsidR="00615BF9" w:rsidRDefault="00615BF9" w:rsidP="004009B2">
      <w:pPr>
        <w:pStyle w:val="ListParagraph"/>
        <w:ind w:left="0"/>
        <w:jc w:val="both"/>
      </w:pPr>
    </w:p>
    <w:p w:rsidR="0010199A" w:rsidRDefault="00802680" w:rsidP="00602102">
      <w:pPr>
        <w:pStyle w:val="ListParagraph"/>
        <w:ind w:left="0"/>
        <w:jc w:val="both"/>
      </w:pPr>
      <w:r>
        <w:t xml:space="preserve">The frequency of each fishing method associated with </w:t>
      </w:r>
      <w:r w:rsidR="00164675">
        <w:t>all</w:t>
      </w:r>
      <w:r>
        <w:t xml:space="preserve"> </w:t>
      </w:r>
      <w:r w:rsidR="00D9247F">
        <w:t xml:space="preserve">Record Numbers </w:t>
      </w:r>
      <w:r>
        <w:t>is shown in Table.2. J</w:t>
      </w:r>
      <w:r w:rsidR="0010199A">
        <w:t xml:space="preserve">ust </w:t>
      </w:r>
      <w:r w:rsidR="00D9247F">
        <w:t>over 40%</w:t>
      </w:r>
      <w:r w:rsidR="003676F0">
        <w:t xml:space="preserve"> of all records </w:t>
      </w:r>
      <w:r w:rsidR="00D9247F">
        <w:t>(and 38.4</w:t>
      </w:r>
      <w:r w:rsidR="000F5161">
        <w:t xml:space="preserve">% of the total catch) </w:t>
      </w:r>
      <w:r w:rsidR="003676F0">
        <w:t>are associated with hookah-diving</w:t>
      </w:r>
      <w:r w:rsidR="0010199A">
        <w:t>, while</w:t>
      </w:r>
      <w:r w:rsidR="003676F0">
        <w:t xml:space="preserve"> free diving and lamp fishing </w:t>
      </w:r>
      <w:r w:rsidR="008F7633">
        <w:t>are associated with 38.2% and 9.0</w:t>
      </w:r>
      <w:r w:rsidR="003676F0">
        <w:t xml:space="preserve">% of records respectively. </w:t>
      </w:r>
      <w:r w:rsidR="004009B2">
        <w:t xml:space="preserve">The catch </w:t>
      </w:r>
      <w:r w:rsidR="001F2450">
        <w:t>method for</w:t>
      </w:r>
      <w:r w:rsidR="008F7633">
        <w:t xml:space="preserve"> 8.8</w:t>
      </w:r>
      <w:r w:rsidR="004009B2">
        <w:t xml:space="preserve">% of </w:t>
      </w:r>
      <w:r w:rsidR="009456BE">
        <w:t xml:space="preserve">all catch </w:t>
      </w:r>
      <w:r w:rsidR="008F7633">
        <w:t>records (and 26.4</w:t>
      </w:r>
      <w:r w:rsidR="004009B2">
        <w:t>% of the total catch) remains unknown</w:t>
      </w:r>
      <w:r w:rsidR="0010199A">
        <w:t>. For a</w:t>
      </w:r>
      <w:r w:rsidR="004009B2">
        <w:t xml:space="preserve">round 3% of </w:t>
      </w:r>
      <w:r w:rsidR="0010199A">
        <w:t xml:space="preserve">all </w:t>
      </w:r>
      <w:r w:rsidR="004009B2">
        <w:t xml:space="preserve">records </w:t>
      </w:r>
      <w:r w:rsidR="0010199A">
        <w:t>the</w:t>
      </w:r>
      <w:r w:rsidR="004009B2">
        <w:t xml:space="preserve"> catch is associated with some combination of the main </w:t>
      </w:r>
      <w:r w:rsidR="00602102">
        <w:t xml:space="preserve">fishing methods. </w:t>
      </w:r>
    </w:p>
    <w:p w:rsidR="0010199A" w:rsidRDefault="0010199A" w:rsidP="00602102">
      <w:pPr>
        <w:pStyle w:val="ListParagraph"/>
        <w:ind w:left="0"/>
        <w:jc w:val="both"/>
      </w:pPr>
    </w:p>
    <w:p w:rsidR="00602102" w:rsidRDefault="00602102" w:rsidP="00602102">
      <w:pPr>
        <w:pStyle w:val="ListParagraph"/>
        <w:ind w:left="0"/>
        <w:jc w:val="both"/>
      </w:pPr>
      <w:r>
        <w:t xml:space="preserve">The distribution of </w:t>
      </w:r>
      <w:r w:rsidR="00D9247F">
        <w:t>R</w:t>
      </w:r>
      <w:r>
        <w:t>ecord</w:t>
      </w:r>
      <w:r w:rsidR="00D9247F">
        <w:t xml:space="preserve"> Number</w:t>
      </w:r>
      <w:r>
        <w:t xml:space="preserve">s (and catch) across each of the 21 TIB areas (shown in Figure 1) is given in Table 3, indicating that </w:t>
      </w:r>
      <w:r w:rsidR="0059055F">
        <w:t xml:space="preserve">around </w:t>
      </w:r>
      <w:r w:rsidR="00C75895">
        <w:t>40%</w:t>
      </w:r>
      <w:r w:rsidR="0059055F">
        <w:t xml:space="preserve"> </w:t>
      </w:r>
      <w:r w:rsidR="00C75895">
        <w:t xml:space="preserve">of the </w:t>
      </w:r>
      <w:r w:rsidR="0059055F">
        <w:t xml:space="preserve">records and </w:t>
      </w:r>
      <w:r>
        <w:t xml:space="preserve">slightly over a quarter </w:t>
      </w:r>
      <w:r w:rsidR="00C75895">
        <w:t>(27.2</w:t>
      </w:r>
      <w:r w:rsidR="0059055F">
        <w:t>%) of the catch have</w:t>
      </w:r>
      <w:r>
        <w:t xml:space="preserve"> come from the Thursday</w:t>
      </w:r>
      <w:r w:rsidR="00C75895">
        <w:t xml:space="preserve"> Island region with another 17.4% and 9.3</w:t>
      </w:r>
      <w:r>
        <w:t xml:space="preserve">% </w:t>
      </w:r>
      <w:r w:rsidR="0059055F">
        <w:t xml:space="preserve">of the total catch </w:t>
      </w:r>
      <w:r>
        <w:t xml:space="preserve">coming from the Mabuiag and Badu regions respectively. </w:t>
      </w:r>
      <w:r w:rsidR="00C75895">
        <w:t>Eleven</w:t>
      </w:r>
      <w:r w:rsidR="005E2563">
        <w:t xml:space="preserve"> of the 21 regions each account for less than one-percent of the total catch </w:t>
      </w:r>
      <w:proofErr w:type="spellStart"/>
      <w:r w:rsidR="005E2563">
        <w:t>over all</w:t>
      </w:r>
      <w:proofErr w:type="spellEnd"/>
      <w:r w:rsidR="005E2563">
        <w:t xml:space="preserve"> years</w:t>
      </w:r>
      <w:r w:rsidR="00C75895">
        <w:t xml:space="preserve"> (and only 1.5</w:t>
      </w:r>
      <w:r w:rsidR="000E2240">
        <w:t>% in total)</w:t>
      </w:r>
      <w:r w:rsidR="005E2563">
        <w:t xml:space="preserve">. </w:t>
      </w:r>
      <w:r>
        <w:t xml:space="preserve">The region </w:t>
      </w:r>
      <w:r w:rsidR="00C75895">
        <w:t>fished for 4.3</w:t>
      </w:r>
      <w:r w:rsidR="009456BE">
        <w:t xml:space="preserve">% of all records (and </w:t>
      </w:r>
      <w:r w:rsidR="00C75895">
        <w:t>20</w:t>
      </w:r>
      <w:r>
        <w:t>% of the total catch</w:t>
      </w:r>
      <w:r w:rsidR="009456BE">
        <w:t>)</w:t>
      </w:r>
      <w:r>
        <w:t xml:space="preserve"> </w:t>
      </w:r>
      <w:r w:rsidR="009456BE">
        <w:t>remains unknown.</w:t>
      </w:r>
    </w:p>
    <w:p w:rsidR="00602102" w:rsidRDefault="00602102" w:rsidP="00602102">
      <w:pPr>
        <w:pStyle w:val="ListParagraph"/>
        <w:ind w:left="0"/>
        <w:jc w:val="both"/>
      </w:pPr>
    </w:p>
    <w:p w:rsidR="00602102" w:rsidRDefault="00602102" w:rsidP="00602102">
      <w:pPr>
        <w:jc w:val="both"/>
      </w:pPr>
      <w:r>
        <w:t xml:space="preserve">The number of distinct vessel-symbols and seller-names associated </w:t>
      </w:r>
      <w:r w:rsidR="00D85904">
        <w:t xml:space="preserve">with these catch records </w:t>
      </w:r>
      <w:r w:rsidR="00917333">
        <w:t xml:space="preserve">is 1083 and 2253 </w:t>
      </w:r>
      <w:r>
        <w:t xml:space="preserve">respectively; however these numbers are inflated due to different spellings and mistakes often associated with a single vessel-symbol or seller-name. </w:t>
      </w:r>
      <w:r w:rsidR="007F1C25">
        <w:t>A</w:t>
      </w:r>
      <w:r>
        <w:t>ttempts</w:t>
      </w:r>
      <w:r w:rsidR="007F1C25">
        <w:t xml:space="preserve"> have been made</w:t>
      </w:r>
      <w:r>
        <w:t xml:space="preserve"> to correct these names</w:t>
      </w:r>
      <w:r w:rsidR="007F1C25">
        <w:t xml:space="preserve"> and as a result</w:t>
      </w:r>
      <w:r>
        <w:t xml:space="preserve"> the number of distinct vessel-symbols and seller-names has been reduced</w:t>
      </w:r>
      <w:r w:rsidR="00C059A3">
        <w:t xml:space="preserve"> by nearly half</w:t>
      </w:r>
      <w:r w:rsidR="00917333">
        <w:t xml:space="preserve"> to 677 and 1029</w:t>
      </w:r>
      <w:r>
        <w:t xml:space="preserve"> respectively</w:t>
      </w:r>
      <w:r w:rsidR="00C059A3">
        <w:t xml:space="preserve">. However, </w:t>
      </w:r>
      <w:r>
        <w:t>the percentage of records without a vessel-symbol remains high at</w:t>
      </w:r>
      <w:r w:rsidR="00D630E1">
        <w:t xml:space="preserve"> 69.1</w:t>
      </w:r>
      <w:r w:rsidR="00D819B5">
        <w:t xml:space="preserve">%. On the other hand, </w:t>
      </w:r>
      <w:r w:rsidR="00D630E1">
        <w:t>only 0.9</w:t>
      </w:r>
      <w:r>
        <w:t>%</w:t>
      </w:r>
      <w:r w:rsidR="00D819B5">
        <w:t xml:space="preserve"> of records have no seller-name</w:t>
      </w:r>
      <w:r>
        <w:t>.</w:t>
      </w:r>
    </w:p>
    <w:p w:rsidR="00602102" w:rsidRDefault="00602102" w:rsidP="00602102">
      <w:pPr>
        <w:pStyle w:val="ListParagraph"/>
        <w:ind w:left="0"/>
        <w:jc w:val="both"/>
      </w:pPr>
    </w:p>
    <w:p w:rsidR="00602102" w:rsidRDefault="00733CB5" w:rsidP="00602102">
      <w:pPr>
        <w:jc w:val="both"/>
      </w:pPr>
      <w:r>
        <w:t xml:space="preserve">The number of </w:t>
      </w:r>
      <w:r w:rsidR="00206B4E">
        <w:t xml:space="preserve">recorded </w:t>
      </w:r>
      <w:r>
        <w:t xml:space="preserve">days-fished associated with the </w:t>
      </w:r>
      <w:r w:rsidR="00D819B5">
        <w:t xml:space="preserve">above </w:t>
      </w:r>
      <w:r>
        <w:t>TIB catch</w:t>
      </w:r>
      <w:r w:rsidR="007E1507">
        <w:t xml:space="preserve"> records </w:t>
      </w:r>
      <w:r w:rsidR="00E40B23">
        <w:t xml:space="preserve">(c.f. Table 4) </w:t>
      </w:r>
      <w:r w:rsidR="007E1507">
        <w:t>varies between 1 and 16</w:t>
      </w:r>
      <w:r>
        <w:t xml:space="preserve"> days, though is </w:t>
      </w:r>
      <w:r w:rsidR="00206B4E">
        <w:t xml:space="preserve">only </w:t>
      </w:r>
      <w:r w:rsidR="00E40B23">
        <w:t>one, two or three days for 82.6%, 6.8</w:t>
      </w:r>
      <w:r w:rsidR="007E1507">
        <w:t>% and 3.5</w:t>
      </w:r>
      <w:r>
        <w:t xml:space="preserve">% </w:t>
      </w:r>
      <w:r w:rsidR="007E1507">
        <w:t>of catch records respectively. T</w:t>
      </w:r>
      <w:r>
        <w:t>he days-fished remains unknown (i.e. not rec</w:t>
      </w:r>
      <w:r w:rsidR="00E40B23">
        <w:t>orded) for 3.5</w:t>
      </w:r>
      <w:r w:rsidR="00206B4E">
        <w:t>% of these records</w:t>
      </w:r>
      <w:r w:rsidR="00E40B23">
        <w:t xml:space="preserve"> (but for 19.5% of the total catch)</w:t>
      </w:r>
      <w:r w:rsidR="00206B4E">
        <w:t>.</w:t>
      </w:r>
      <w:r>
        <w:t xml:space="preserve"> Finally, the number of crew </w:t>
      </w:r>
      <w:r w:rsidR="00206B4E">
        <w:t>varies between 1 and 14</w:t>
      </w:r>
      <w:r w:rsidR="00E40B23">
        <w:t xml:space="preserve"> (c.f. Table 5)</w:t>
      </w:r>
      <w:r w:rsidR="00206B4E">
        <w:t>, though is</w:t>
      </w:r>
      <w:r w:rsidR="00E40B23">
        <w:t xml:space="preserve"> only one or two for 60.1% and 28.8% </w:t>
      </w:r>
      <w:r w:rsidR="00206B4E">
        <w:t>of records respectively.</w:t>
      </w:r>
      <w:r w:rsidR="00D819B5">
        <w:t xml:space="preserve"> The num</w:t>
      </w:r>
      <w:r w:rsidR="00781DA4">
        <w:t>ber of crew remains unknown for</w:t>
      </w:r>
      <w:r w:rsidR="00E40B23">
        <w:t xml:space="preserve"> 8.8</w:t>
      </w:r>
      <w:r w:rsidR="00D819B5">
        <w:t xml:space="preserve">% of </w:t>
      </w:r>
      <w:r w:rsidR="007E1507">
        <w:t>all</w:t>
      </w:r>
      <w:r w:rsidR="00D819B5">
        <w:t xml:space="preserve"> records</w:t>
      </w:r>
      <w:r w:rsidR="00E40B23">
        <w:t xml:space="preserve"> (and 27.7% of the total catch)</w:t>
      </w:r>
      <w:r w:rsidR="00D819B5">
        <w:t>.</w:t>
      </w:r>
    </w:p>
    <w:p w:rsidR="00E5183F" w:rsidRDefault="00E5183F" w:rsidP="00602102">
      <w:pPr>
        <w:jc w:val="both"/>
      </w:pPr>
    </w:p>
    <w:p w:rsidR="00CD79AB" w:rsidRDefault="00CD79AB" w:rsidP="00602102">
      <w:pPr>
        <w:jc w:val="both"/>
      </w:pPr>
      <w:r>
        <w:t>The annual percentage of the TIB catch stratified by various levels of (a) fishing method, (b) area fished, (c) days fished and (d) number of crew are shown in Figure 3. The annual percent</w:t>
      </w:r>
    </w:p>
    <w:p w:rsidR="00602102" w:rsidRDefault="00602102" w:rsidP="00D9247F">
      <w:pPr>
        <w:jc w:val="both"/>
      </w:pPr>
      <w:r>
        <w:br w:type="page"/>
      </w:r>
    </w:p>
    <w:p w:rsidR="004009B2" w:rsidRDefault="004009B2" w:rsidP="004009B2">
      <w:pPr>
        <w:pStyle w:val="ListParagraph"/>
        <w:ind w:left="0"/>
        <w:jc w:val="both"/>
      </w:pPr>
    </w:p>
    <w:p w:rsidR="00732680" w:rsidRDefault="00732680" w:rsidP="002B5465">
      <w:pPr>
        <w:spacing w:after="120"/>
      </w:pPr>
      <w:r>
        <w:t>Table 1.</w:t>
      </w:r>
      <w:r w:rsidR="002F105E">
        <w:t xml:space="preserve"> </w:t>
      </w:r>
      <w:r w:rsidR="003F729A">
        <w:t xml:space="preserve">Number of TIB </w:t>
      </w:r>
      <w:r w:rsidR="003C55DB">
        <w:t xml:space="preserve">catch </w:t>
      </w:r>
      <w:r w:rsidR="00DC4111">
        <w:t xml:space="preserve">data </w:t>
      </w:r>
      <w:r w:rsidR="003C55DB">
        <w:t>records, distinct TIB Record Numbers (Nos)</w:t>
      </w:r>
      <w:r w:rsidR="00BF47DD">
        <w:t xml:space="preserve">, </w:t>
      </w:r>
      <w:r w:rsidR="003F729A">
        <w:t>and associated catch</w:t>
      </w:r>
      <w:r w:rsidR="002E5AA0">
        <w:t xml:space="preserve"> </w:t>
      </w:r>
      <w:r w:rsidR="00DC4111">
        <w:t>per year</w:t>
      </w:r>
      <w:r w:rsidR="00465241">
        <w:t>.</w:t>
      </w:r>
    </w:p>
    <w:p w:rsidR="00D85904" w:rsidRDefault="00D85904" w:rsidP="002B5465">
      <w:pPr>
        <w:spacing w:after="120"/>
        <w:sectPr w:rsidR="00D85904" w:rsidSect="00CE0D49">
          <w:headerReference w:type="default" r:id="rId9"/>
          <w:footerReference w:type="default" r:id="rId10"/>
          <w:pgSz w:w="11906" w:h="16838"/>
          <w:pgMar w:top="1440" w:right="1440" w:bottom="1440" w:left="1440" w:header="708" w:footer="708" w:gutter="0"/>
          <w:cols w:space="708"/>
          <w:docGrid w:linePitch="360"/>
        </w:sectPr>
      </w:pPr>
    </w:p>
    <w:p w:rsidR="002F105E" w:rsidRDefault="00CB1E97" w:rsidP="003F729A">
      <w:pPr>
        <w:jc w:val="center"/>
      </w:pPr>
      <w:r w:rsidRPr="00CB1E97">
        <w:rPr>
          <w:noProof/>
        </w:rPr>
        <w:drawing>
          <wp:inline distT="0" distB="0" distL="0" distR="0">
            <wp:extent cx="2640965" cy="2165401"/>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2165401"/>
                    </a:xfrm>
                    <a:prstGeom prst="rect">
                      <a:avLst/>
                    </a:prstGeom>
                    <a:noFill/>
                    <a:ln>
                      <a:noFill/>
                    </a:ln>
                  </pic:spPr>
                </pic:pic>
              </a:graphicData>
            </a:graphic>
          </wp:inline>
        </w:drawing>
      </w:r>
    </w:p>
    <w:p w:rsidR="00D85904" w:rsidRDefault="00D85904" w:rsidP="003F729A">
      <w:pPr>
        <w:jc w:val="center"/>
      </w:pPr>
    </w:p>
    <w:p w:rsidR="004333EC" w:rsidRDefault="004333EC" w:rsidP="003F729A">
      <w:pPr>
        <w:jc w:val="center"/>
      </w:pPr>
    </w:p>
    <w:p w:rsidR="00D85904" w:rsidRDefault="004333EC" w:rsidP="003F729A">
      <w:pPr>
        <w:jc w:val="center"/>
      </w:pPr>
      <w:r w:rsidRPr="004333EC">
        <w:rPr>
          <w:noProof/>
        </w:rPr>
        <w:drawing>
          <wp:inline distT="0" distB="0" distL="0" distR="0">
            <wp:extent cx="3074963" cy="18691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847" cy="1880621"/>
                    </a:xfrm>
                    <a:prstGeom prst="rect">
                      <a:avLst/>
                    </a:prstGeom>
                    <a:noFill/>
                    <a:ln>
                      <a:noFill/>
                    </a:ln>
                  </pic:spPr>
                </pic:pic>
              </a:graphicData>
            </a:graphic>
          </wp:inline>
        </w:drawing>
      </w:r>
    </w:p>
    <w:p w:rsidR="004333EC" w:rsidRDefault="004333EC" w:rsidP="004333EC"/>
    <w:p w:rsidR="00D85904" w:rsidRDefault="00D85904" w:rsidP="00732680"/>
    <w:p w:rsidR="00D85904" w:rsidRDefault="00D85904" w:rsidP="00732680">
      <w:pPr>
        <w:sectPr w:rsidR="00D85904" w:rsidSect="00D85904">
          <w:type w:val="continuous"/>
          <w:pgSz w:w="11906" w:h="16838"/>
          <w:pgMar w:top="1440" w:right="1440" w:bottom="1440" w:left="1440" w:header="708" w:footer="708" w:gutter="0"/>
          <w:cols w:num="2" w:space="708"/>
          <w:docGrid w:linePitch="360"/>
        </w:sectPr>
      </w:pPr>
    </w:p>
    <w:p w:rsidR="002F105E" w:rsidRDefault="002F105E" w:rsidP="00732680"/>
    <w:p w:rsidR="004B4077" w:rsidRDefault="00D85904" w:rsidP="002B5465">
      <w:pPr>
        <w:spacing w:after="120"/>
      </w:pPr>
      <w:r>
        <w:t>Ta</w:t>
      </w:r>
      <w:r w:rsidR="004B4077">
        <w:t xml:space="preserve">ble 2. </w:t>
      </w:r>
      <w:r w:rsidR="003F729A">
        <w:t>Number of TIB records (and associated catch</w:t>
      </w:r>
      <w:r w:rsidR="002E5AA0" w:rsidRPr="002E5AA0">
        <w:t xml:space="preserve"> </w:t>
      </w:r>
      <w:r w:rsidR="002E5AA0">
        <w:t>in kilograms</w:t>
      </w:r>
      <w:r w:rsidR="003F729A">
        <w:t>) by fishing method.</w:t>
      </w:r>
    </w:p>
    <w:p w:rsidR="00732680" w:rsidRDefault="00D9247F" w:rsidP="003F729A">
      <w:pPr>
        <w:jc w:val="center"/>
      </w:pPr>
      <w:r w:rsidRPr="00D9247F">
        <w:rPr>
          <w:noProof/>
        </w:rPr>
        <w:drawing>
          <wp:inline distT="0" distB="0" distL="0" distR="0">
            <wp:extent cx="5560060" cy="51904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060" cy="5190490"/>
                    </a:xfrm>
                    <a:prstGeom prst="rect">
                      <a:avLst/>
                    </a:prstGeom>
                    <a:noFill/>
                    <a:ln>
                      <a:noFill/>
                    </a:ln>
                  </pic:spPr>
                </pic:pic>
              </a:graphicData>
            </a:graphic>
          </wp:inline>
        </w:drawing>
      </w:r>
    </w:p>
    <w:p w:rsidR="00CD357A" w:rsidRDefault="00CD357A">
      <w:pPr>
        <w:spacing w:after="200" w:line="276" w:lineRule="auto"/>
      </w:pPr>
      <w:r>
        <w:br w:type="page"/>
      </w:r>
    </w:p>
    <w:p w:rsidR="00CD357A" w:rsidRDefault="00CD357A" w:rsidP="00CD357A">
      <w:pPr>
        <w:spacing w:after="120"/>
      </w:pPr>
      <w:r>
        <w:lastRenderedPageBreak/>
        <w:t>Figure 1. Spatial structure of the TIB data</w:t>
      </w:r>
    </w:p>
    <w:p w:rsidR="00CD357A" w:rsidRDefault="00CD357A" w:rsidP="00CD357A">
      <w:r w:rsidRPr="00DF68B1">
        <w:rPr>
          <w:noProof/>
        </w:rPr>
        <w:drawing>
          <wp:inline distT="0" distB="0" distL="0" distR="0" wp14:anchorId="4C7AC95D" wp14:editId="1D8BE016">
            <wp:extent cx="5731510" cy="4053318"/>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31510" cy="4053318"/>
                    </a:xfrm>
                    <a:prstGeom prst="rect">
                      <a:avLst/>
                    </a:prstGeom>
                    <a:noFill/>
                    <a:ln w="9525">
                      <a:noFill/>
                      <a:miter lim="800000"/>
                      <a:headEnd/>
                      <a:tailEnd/>
                    </a:ln>
                  </pic:spPr>
                </pic:pic>
              </a:graphicData>
            </a:graphic>
          </wp:inline>
        </w:drawing>
      </w:r>
    </w:p>
    <w:p w:rsidR="00CD357A" w:rsidRDefault="00CD357A" w:rsidP="00CD357A"/>
    <w:p w:rsidR="00CD357A" w:rsidRDefault="00CD357A" w:rsidP="00CD357A">
      <w:pPr>
        <w:spacing w:after="120"/>
      </w:pPr>
      <w:r>
        <w:tab/>
        <w:t xml:space="preserve">   Table 3. Number of TIB records (and associated catch in kilograms) by region.</w:t>
      </w:r>
    </w:p>
    <w:p w:rsidR="00CD357A" w:rsidRDefault="00C75895" w:rsidP="00CD357A">
      <w:pPr>
        <w:jc w:val="center"/>
      </w:pPr>
      <w:r w:rsidRPr="00C75895">
        <w:rPr>
          <w:noProof/>
        </w:rPr>
        <w:drawing>
          <wp:inline distT="0" distB="0" distL="0" distR="0">
            <wp:extent cx="4578985" cy="3893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985" cy="3893185"/>
                    </a:xfrm>
                    <a:prstGeom prst="rect">
                      <a:avLst/>
                    </a:prstGeom>
                    <a:noFill/>
                    <a:ln>
                      <a:noFill/>
                    </a:ln>
                  </pic:spPr>
                </pic:pic>
              </a:graphicData>
            </a:graphic>
          </wp:inline>
        </w:drawing>
      </w:r>
    </w:p>
    <w:p w:rsidR="00E40B23" w:rsidRDefault="00E40B23" w:rsidP="00E40B23">
      <w:pPr>
        <w:spacing w:after="120"/>
      </w:pPr>
      <w:r>
        <w:lastRenderedPageBreak/>
        <w:t>Table 4. Number of TIB records (and associated catch in kilograms) by the number of days fished as recorded on docket-books.</w:t>
      </w:r>
    </w:p>
    <w:p w:rsidR="00976240" w:rsidRDefault="00E40B23" w:rsidP="00E40B23">
      <w:pPr>
        <w:jc w:val="center"/>
      </w:pPr>
      <w:r w:rsidRPr="00E40B23">
        <w:rPr>
          <w:noProof/>
        </w:rPr>
        <w:drawing>
          <wp:inline distT="0" distB="0" distL="0" distR="0">
            <wp:extent cx="3173730" cy="30861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730" cy="3086100"/>
                    </a:xfrm>
                    <a:prstGeom prst="rect">
                      <a:avLst/>
                    </a:prstGeom>
                    <a:noFill/>
                    <a:ln>
                      <a:noFill/>
                    </a:ln>
                  </pic:spPr>
                </pic:pic>
              </a:graphicData>
            </a:graphic>
          </wp:inline>
        </w:drawing>
      </w:r>
    </w:p>
    <w:p w:rsidR="00E40B23" w:rsidRDefault="00E40B23" w:rsidP="00976240"/>
    <w:p w:rsidR="00E40B23" w:rsidRDefault="00E40B23" w:rsidP="00E40B23">
      <w:pPr>
        <w:spacing w:after="120"/>
      </w:pPr>
      <w:r>
        <w:t>Table 5. Number of TIB records (and associated catch in kilograms) by the number of crew as recorded on docket-books.</w:t>
      </w:r>
    </w:p>
    <w:p w:rsidR="00E40B23" w:rsidRDefault="00E40B23" w:rsidP="00E40B23">
      <w:pPr>
        <w:spacing w:after="120"/>
        <w:jc w:val="center"/>
      </w:pPr>
      <w:r w:rsidRPr="00E40B23">
        <w:rPr>
          <w:noProof/>
        </w:rPr>
        <w:drawing>
          <wp:inline distT="0" distB="0" distL="0" distR="0">
            <wp:extent cx="3173730" cy="260223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3730" cy="2602230"/>
                    </a:xfrm>
                    <a:prstGeom prst="rect">
                      <a:avLst/>
                    </a:prstGeom>
                    <a:noFill/>
                    <a:ln>
                      <a:noFill/>
                    </a:ln>
                  </pic:spPr>
                </pic:pic>
              </a:graphicData>
            </a:graphic>
          </wp:inline>
        </w:drawing>
      </w:r>
    </w:p>
    <w:p w:rsidR="00E40B23" w:rsidRDefault="00E40B23" w:rsidP="00E40B23">
      <w:pPr>
        <w:jc w:val="both"/>
      </w:pPr>
    </w:p>
    <w:p w:rsidR="00E40B23" w:rsidRDefault="00E40B23" w:rsidP="004D168F">
      <w:pPr>
        <w:jc w:val="both"/>
      </w:pPr>
      <w:proofErr w:type="gramStart"/>
      <w:r>
        <w:t>of</w:t>
      </w:r>
      <w:proofErr w:type="gramEnd"/>
      <w:r>
        <w:t xml:space="preserve"> blank (unknown) levels for each data field are also shown.</w:t>
      </w:r>
      <w:r w:rsidR="00424EFC">
        <w:t xml:space="preserve"> After 2012 there was a significant increase in the proportion of the annual catch for which the information relating to these four effort variables remains unknown and this percent remains above 60% in 2016. </w:t>
      </w:r>
      <w:r w:rsidR="00B0374B">
        <w:t>This</w:t>
      </w:r>
      <w:r w:rsidR="000B7535">
        <w:t xml:space="preserve"> lack of information </w:t>
      </w:r>
      <w:r w:rsidR="00B0374B">
        <w:t>impedes</w:t>
      </w:r>
      <w:r w:rsidR="000B7535">
        <w:t xml:space="preserve"> the ability to construct indices of resource abundance that represent the distribution of lobsters across the TIB fishery based on the catch and effort data from this fishery</w:t>
      </w:r>
      <w:r w:rsidR="009F5ACD">
        <w:t>. This is larg</w:t>
      </w:r>
      <w:r w:rsidR="004D168F">
        <w:t xml:space="preserve">ely due to the high proportion </w:t>
      </w:r>
      <w:r w:rsidR="009F5ACD">
        <w:t xml:space="preserve">of the total catch </w:t>
      </w:r>
      <w:r w:rsidR="004D168F">
        <w:t xml:space="preserve">(&gt;40%) in recent years </w:t>
      </w:r>
      <w:r w:rsidR="009F5ACD">
        <w:t xml:space="preserve">which is not being recorded in the docket-books but instead is being supplied in aggregate form by processors. </w:t>
      </w:r>
      <w:r w:rsidR="00CD79AB">
        <w:t xml:space="preserve">However, there is still room for improving the information recorded on docket-books (e.g. the fishing method was not completed for 20% of records in 2016, cf. Table 3b). </w:t>
      </w:r>
    </w:p>
    <w:p w:rsidR="00976240" w:rsidRDefault="00976240">
      <w:pPr>
        <w:spacing w:after="200" w:line="276" w:lineRule="auto"/>
        <w:sectPr w:rsidR="00976240" w:rsidSect="00D85904">
          <w:type w:val="continuous"/>
          <w:pgSz w:w="11906" w:h="16838"/>
          <w:pgMar w:top="1440" w:right="1440" w:bottom="1440" w:left="1440" w:header="708" w:footer="708" w:gutter="0"/>
          <w:cols w:space="708"/>
          <w:docGrid w:linePitch="360"/>
        </w:sectPr>
      </w:pPr>
    </w:p>
    <w:p w:rsidR="00212138" w:rsidRDefault="00212138" w:rsidP="00212138">
      <w:pPr>
        <w:spacing w:after="120" w:line="276" w:lineRule="auto"/>
      </w:pPr>
      <w:r>
        <w:lastRenderedPageBreak/>
        <w:t>Figu</w:t>
      </w:r>
      <w:r w:rsidR="00431118">
        <w:t>re 3</w:t>
      </w:r>
      <w:r w:rsidR="00424EFC">
        <w:t>a</w:t>
      </w:r>
      <w:r>
        <w:t>. Annual percent of TIB catch for various levels of the following data fields: (a) fishing method, (</w:t>
      </w:r>
      <w:r w:rsidR="00F75208">
        <w:t>b) area fished, (c) days fished and (d) number of crew</w:t>
      </w:r>
      <w:r>
        <w:t xml:space="preserve"> </w:t>
      </w:r>
      <w:proofErr w:type="gramStart"/>
      <w:r>
        <w:t>The</w:t>
      </w:r>
      <w:proofErr w:type="gramEnd"/>
      <w:r>
        <w:t xml:space="preserve"> </w:t>
      </w:r>
      <w:r w:rsidR="009F6E85">
        <w:t>percent</w:t>
      </w:r>
      <w:r>
        <w:t xml:space="preserve"> of </w:t>
      </w:r>
      <w:r w:rsidR="009F6E85">
        <w:t xml:space="preserve">the annual catch for which </w:t>
      </w:r>
      <w:r>
        <w:t xml:space="preserve">each data field </w:t>
      </w:r>
      <w:r w:rsidR="009F6E85">
        <w:t>was not completed (</w:t>
      </w:r>
      <w:r w:rsidR="00431118">
        <w:t xml:space="preserve">and therefore remains </w:t>
      </w:r>
      <w:r w:rsidR="009F6E85">
        <w:t xml:space="preserve">unknown) is </w:t>
      </w:r>
      <w:r>
        <w:t>also shown.</w:t>
      </w:r>
    </w:p>
    <w:p w:rsidR="00976240" w:rsidRDefault="00964655" w:rsidP="00976240">
      <w:pPr>
        <w:spacing w:line="276" w:lineRule="auto"/>
      </w:pPr>
      <w:r w:rsidRPr="00964655">
        <w:rPr>
          <w:noProof/>
        </w:rPr>
        <w:drawing>
          <wp:inline distT="0" distB="0" distL="0" distR="0">
            <wp:extent cx="8862898" cy="5057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4548" cy="5058717"/>
                    </a:xfrm>
                    <a:prstGeom prst="rect">
                      <a:avLst/>
                    </a:prstGeom>
                    <a:noFill/>
                    <a:ln>
                      <a:noFill/>
                    </a:ln>
                  </pic:spPr>
                </pic:pic>
              </a:graphicData>
            </a:graphic>
          </wp:inline>
        </w:drawing>
      </w:r>
    </w:p>
    <w:p w:rsidR="00424EFC" w:rsidRDefault="00424EFC" w:rsidP="00424EFC">
      <w:pPr>
        <w:spacing w:after="120" w:line="276" w:lineRule="auto"/>
      </w:pPr>
      <w:r>
        <w:lastRenderedPageBreak/>
        <w:t xml:space="preserve">Figure 3b. Annual percent of TIB records for various levels of the following data fields: (a) fishing method, (b) area fished, (c) days fished and (d) number of crew </w:t>
      </w:r>
      <w:proofErr w:type="gramStart"/>
      <w:r>
        <w:t>The</w:t>
      </w:r>
      <w:proofErr w:type="gramEnd"/>
      <w:r>
        <w:t xml:space="preserve"> percent of the annual catch for which each data field was not completed (and therefore remains unknown) is also shown.</w:t>
      </w:r>
    </w:p>
    <w:p w:rsidR="00424EFC" w:rsidRDefault="00964655" w:rsidP="00976240">
      <w:pPr>
        <w:spacing w:line="276" w:lineRule="auto"/>
      </w:pPr>
      <w:r w:rsidRPr="00964655">
        <w:rPr>
          <w:noProof/>
        </w:rPr>
        <w:drawing>
          <wp:inline distT="0" distB="0" distL="0" distR="0">
            <wp:extent cx="8862060" cy="497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5060" cy="4973733"/>
                    </a:xfrm>
                    <a:prstGeom prst="rect">
                      <a:avLst/>
                    </a:prstGeom>
                    <a:noFill/>
                    <a:ln>
                      <a:noFill/>
                    </a:ln>
                  </pic:spPr>
                </pic:pic>
              </a:graphicData>
            </a:graphic>
          </wp:inline>
        </w:drawing>
      </w:r>
    </w:p>
    <w:p w:rsidR="00424EFC" w:rsidRDefault="00424EFC" w:rsidP="00976240">
      <w:pPr>
        <w:spacing w:line="276" w:lineRule="auto"/>
      </w:pPr>
    </w:p>
    <w:p w:rsidR="00976240" w:rsidRDefault="00976240" w:rsidP="00976240">
      <w:pPr>
        <w:spacing w:line="276" w:lineRule="auto"/>
        <w:sectPr w:rsidR="00976240" w:rsidSect="00976240">
          <w:pgSz w:w="16838" w:h="11906" w:orient="landscape"/>
          <w:pgMar w:top="1440" w:right="1440" w:bottom="1440" w:left="1440" w:header="708" w:footer="708" w:gutter="0"/>
          <w:cols w:space="708"/>
          <w:docGrid w:linePitch="360"/>
        </w:sectPr>
      </w:pPr>
    </w:p>
    <w:p w:rsidR="00AE39C7" w:rsidRPr="00AE39C7" w:rsidRDefault="00803F4F" w:rsidP="00BA3421">
      <w:pPr>
        <w:pStyle w:val="ListParagraph"/>
        <w:ind w:left="0"/>
        <w:jc w:val="both"/>
        <w:rPr>
          <w:b/>
        </w:rPr>
      </w:pPr>
      <w:r>
        <w:rPr>
          <w:b/>
        </w:rPr>
        <w:lastRenderedPageBreak/>
        <w:t>3</w:t>
      </w:r>
      <w:r w:rsidR="00AE39C7" w:rsidRPr="00AE39C7">
        <w:rPr>
          <w:b/>
        </w:rPr>
        <w:t xml:space="preserve">. </w:t>
      </w:r>
      <w:r w:rsidR="00BD635D">
        <w:rPr>
          <w:b/>
        </w:rPr>
        <w:t>Selection</w:t>
      </w:r>
      <w:r w:rsidR="00AE39C7" w:rsidRPr="00AE39C7">
        <w:rPr>
          <w:b/>
        </w:rPr>
        <w:t xml:space="preserve"> of data used for CPUE analysis</w:t>
      </w:r>
    </w:p>
    <w:p w:rsidR="00AE39C7" w:rsidRDefault="00AE39C7" w:rsidP="00BA3421">
      <w:pPr>
        <w:pStyle w:val="ListParagraph"/>
        <w:ind w:left="0"/>
        <w:jc w:val="both"/>
      </w:pPr>
    </w:p>
    <w:p w:rsidR="00BA3421" w:rsidRDefault="008F743F" w:rsidP="00BA3421">
      <w:pPr>
        <w:pStyle w:val="ListParagraph"/>
        <w:ind w:left="0"/>
        <w:jc w:val="both"/>
      </w:pPr>
      <w:r>
        <w:t xml:space="preserve">Each </w:t>
      </w:r>
      <w:r w:rsidR="00B95DC2">
        <w:t>catch</w:t>
      </w:r>
      <w:r>
        <w:t xml:space="preserve"> record in the TIB data is </w:t>
      </w:r>
      <w:r w:rsidR="00A412D0">
        <w:t>associated with a Record-</w:t>
      </w:r>
      <w:r>
        <w:t xml:space="preserve">No. </w:t>
      </w:r>
      <w:r w:rsidR="008641D1">
        <w:t xml:space="preserve">While there are </w:t>
      </w:r>
      <w:r w:rsidR="00EF1721">
        <w:t xml:space="preserve">usually </w:t>
      </w:r>
      <w:r w:rsidR="008641D1">
        <w:t>multiple catch records associated with a given Record-No, t</w:t>
      </w:r>
      <w:r w:rsidR="009531C0">
        <w:t>he structure of the docket-book</w:t>
      </w:r>
      <w:r w:rsidR="00350596">
        <w:t xml:space="preserve"> would seem to indicate</w:t>
      </w:r>
      <w:r w:rsidR="009531C0">
        <w:t xml:space="preserve"> that there should be a unique </w:t>
      </w:r>
      <w:r w:rsidR="00A412D0">
        <w:t>Record-</w:t>
      </w:r>
      <w:r>
        <w:t xml:space="preserve">No </w:t>
      </w:r>
      <w:r w:rsidR="009531C0">
        <w:t>for each vessel, date and seller</w:t>
      </w:r>
      <w:r w:rsidR="008641D1">
        <w:t>-name</w:t>
      </w:r>
      <w:r w:rsidR="009531C0">
        <w:t>. However, i</w:t>
      </w:r>
      <w:r w:rsidR="00BA3421">
        <w:t xml:space="preserve">nvestigation of the data indicates that there are often multiple </w:t>
      </w:r>
      <w:r w:rsidR="00A412D0">
        <w:t>Record-</w:t>
      </w:r>
      <w:r>
        <w:t>No</w:t>
      </w:r>
      <w:r w:rsidR="000221A2">
        <w:t>s</w:t>
      </w:r>
      <w:r>
        <w:t xml:space="preserve"> </w:t>
      </w:r>
      <w:r w:rsidR="00BA3421">
        <w:t>ass</w:t>
      </w:r>
      <w:r w:rsidR="00031B8C">
        <w:t xml:space="preserve">ociated </w:t>
      </w:r>
      <w:r w:rsidR="009531C0">
        <w:t>for</w:t>
      </w:r>
      <w:r w:rsidR="00031B8C">
        <w:t xml:space="preserve"> a given vessel, </w:t>
      </w:r>
      <w:r w:rsidR="00BA3421">
        <w:t>date</w:t>
      </w:r>
      <w:r w:rsidR="00031B8C">
        <w:t xml:space="preserve"> and seller</w:t>
      </w:r>
      <w:r w:rsidR="008641D1">
        <w:t>-name</w:t>
      </w:r>
      <w:r w:rsidR="00BA3421">
        <w:t xml:space="preserve">. </w:t>
      </w:r>
      <w:r w:rsidR="008252E7">
        <w:t>The reason</w:t>
      </w:r>
      <w:r w:rsidR="009531C0">
        <w:t xml:space="preserve"> for these multiple records remains unknown.</w:t>
      </w:r>
      <w:r w:rsidR="00EF1721">
        <w:t xml:space="preserve"> In order to identity an appropriate data structure </w:t>
      </w:r>
      <w:r w:rsidR="00A23CD9">
        <w:t>for analysis, the following procedure was adopted</w:t>
      </w:r>
      <w:r w:rsidR="00F87A4D">
        <w:t xml:space="preserve"> to filter the data</w:t>
      </w:r>
      <w:r w:rsidR="00A23CD9">
        <w:t>:</w:t>
      </w:r>
    </w:p>
    <w:p w:rsidR="00A23CD9" w:rsidRDefault="00A23CD9" w:rsidP="00A23CD9">
      <w:pPr>
        <w:pStyle w:val="ListParagraph"/>
        <w:numPr>
          <w:ilvl w:val="0"/>
          <w:numId w:val="5"/>
        </w:numPr>
        <w:jc w:val="both"/>
      </w:pPr>
      <w:r>
        <w:t xml:space="preserve">The TIB data was aggregated over vessel-symbol, date and seller-name. Where the vessel-symbol or seller-name was null these </w:t>
      </w:r>
      <w:r w:rsidR="005757EB">
        <w:t xml:space="preserve">fields </w:t>
      </w:r>
      <w:r>
        <w:t>were set to ‘Unknown’;</w:t>
      </w:r>
    </w:p>
    <w:p w:rsidR="008F743F" w:rsidRDefault="00A23CD9" w:rsidP="00723180">
      <w:pPr>
        <w:pStyle w:val="ListParagraph"/>
        <w:numPr>
          <w:ilvl w:val="0"/>
          <w:numId w:val="5"/>
        </w:numPr>
        <w:jc w:val="both"/>
      </w:pPr>
      <w:r>
        <w:t xml:space="preserve">Only those records where the first fishing method listed in Table 2 was </w:t>
      </w:r>
      <w:r w:rsidR="00087445">
        <w:t xml:space="preserve">either </w:t>
      </w:r>
      <w:r w:rsidR="005757EB">
        <w:t>‘</w:t>
      </w:r>
      <w:r>
        <w:t>Hookah diving</w:t>
      </w:r>
      <w:r w:rsidR="005757EB">
        <w:t>’</w:t>
      </w:r>
      <w:r>
        <w:t xml:space="preserve"> or </w:t>
      </w:r>
      <w:r w:rsidR="005757EB">
        <w:t>‘</w:t>
      </w:r>
      <w:proofErr w:type="gramStart"/>
      <w:r>
        <w:t>Free</w:t>
      </w:r>
      <w:proofErr w:type="gramEnd"/>
      <w:r>
        <w:t xml:space="preserve"> diving</w:t>
      </w:r>
      <w:r w:rsidR="005757EB">
        <w:t>’</w:t>
      </w:r>
      <w:r>
        <w:t xml:space="preserve"> were selected</w:t>
      </w:r>
      <w:r w:rsidR="008F743F">
        <w:t>.</w:t>
      </w:r>
      <w:r w:rsidR="00723180">
        <w:t xml:space="preserve"> </w:t>
      </w:r>
      <w:r w:rsidR="008F743F">
        <w:t xml:space="preserve">This resulted in a total of </w:t>
      </w:r>
      <w:r w:rsidR="00292B26">
        <w:t>33,795</w:t>
      </w:r>
      <w:r w:rsidR="008F743F">
        <w:t xml:space="preserve"> aggregate records (he</w:t>
      </w:r>
      <w:r w:rsidR="0019361E">
        <w:t>nce-forth known as GLM records);</w:t>
      </w:r>
      <w:r w:rsidR="008F743F">
        <w:t xml:space="preserve"> </w:t>
      </w:r>
    </w:p>
    <w:p w:rsidR="00723180" w:rsidRDefault="00723180" w:rsidP="00723180">
      <w:pPr>
        <w:pStyle w:val="ListParagraph"/>
        <w:numPr>
          <w:ilvl w:val="0"/>
          <w:numId w:val="5"/>
        </w:numPr>
        <w:jc w:val="both"/>
      </w:pPr>
      <w:r>
        <w:t>Only those GLM</w:t>
      </w:r>
      <w:r w:rsidR="00A412D0">
        <w:t xml:space="preserve"> records having a unique Record-</w:t>
      </w:r>
      <w:r>
        <w:t>No were selected</w:t>
      </w:r>
      <w:r w:rsidR="005757EB">
        <w:t xml:space="preserve"> for</w:t>
      </w:r>
      <w:r w:rsidR="00B57719">
        <w:t xml:space="preserve"> analysis</w:t>
      </w:r>
      <w:r w:rsidR="00DC39E9">
        <w:t xml:space="preserve"> – accounting for </w:t>
      </w:r>
      <w:r w:rsidR="00292B26">
        <w:t>32,770 (97.0</w:t>
      </w:r>
      <w:r w:rsidR="0068616E">
        <w:t xml:space="preserve">%) </w:t>
      </w:r>
      <w:r w:rsidR="005757EB">
        <w:t xml:space="preserve">of the </w:t>
      </w:r>
      <w:r w:rsidR="0068616E">
        <w:t xml:space="preserve">GLM records </w:t>
      </w:r>
      <w:r w:rsidR="005757EB">
        <w:t>identified in the previous step</w:t>
      </w:r>
      <w:r w:rsidR="0068616E">
        <w:t xml:space="preserve">. </w:t>
      </w:r>
      <w:r w:rsidR="002764CB">
        <w:t>It was assumed that where the vessel or seller were unknown, that selection of only those GLM</w:t>
      </w:r>
      <w:r w:rsidR="00A412D0">
        <w:t xml:space="preserve"> records having a unique Record-</w:t>
      </w:r>
      <w:r w:rsidR="002764CB">
        <w:t>No limited the GLM records chosen to those associated with a single v</w:t>
      </w:r>
      <w:r w:rsidR="005757EB">
        <w:t>essel and a single seller;</w:t>
      </w:r>
    </w:p>
    <w:p w:rsidR="002764CB" w:rsidRDefault="00292B26" w:rsidP="00723180">
      <w:pPr>
        <w:pStyle w:val="ListParagraph"/>
        <w:numPr>
          <w:ilvl w:val="0"/>
          <w:numId w:val="5"/>
        </w:numPr>
        <w:jc w:val="both"/>
      </w:pPr>
      <w:r>
        <w:t xml:space="preserve">Additional </w:t>
      </w:r>
      <w:r w:rsidR="001A1CA7">
        <w:t xml:space="preserve">GLM records were </w:t>
      </w:r>
      <w:r w:rsidR="00B57719">
        <w:t>deleted</w:t>
      </w:r>
      <w:r w:rsidR="001A1CA7">
        <w:t xml:space="preserve"> where either the number of days fished</w:t>
      </w:r>
      <w:r w:rsidR="006D7BA2">
        <w:t xml:space="preserve"> (see example in Table 4 below)</w:t>
      </w:r>
      <w:r w:rsidR="001A1CA7">
        <w:t>, the number of crew on the boat, or the fishing method</w:t>
      </w:r>
      <w:r w:rsidR="00A412D0">
        <w:t xml:space="preserve"> was not unique for each Record-</w:t>
      </w:r>
      <w:r>
        <w:t>No (163, 262</w:t>
      </w:r>
      <w:r w:rsidR="001A1CA7">
        <w:t xml:space="preserve"> and 4 </w:t>
      </w:r>
      <w:r w:rsidR="00087445">
        <w:t>records</w:t>
      </w:r>
      <w:r w:rsidR="001A1CA7">
        <w:t xml:space="preserve"> respectively).</w:t>
      </w:r>
      <w:r w:rsidR="00B26173">
        <w:t xml:space="preserve"> </w:t>
      </w:r>
      <w:r w:rsidR="005757EB">
        <w:t>This was done to help eliminate data errors. T</w:t>
      </w:r>
      <w:r w:rsidR="00B26173">
        <w:t xml:space="preserve">he area-fished was found </w:t>
      </w:r>
      <w:r w:rsidR="00A412D0">
        <w:t>to be unique for each Record-</w:t>
      </w:r>
      <w:r w:rsidR="0019361E">
        <w:t>No;</w:t>
      </w:r>
    </w:p>
    <w:p w:rsidR="00C77039" w:rsidRDefault="00292B26" w:rsidP="00723180">
      <w:pPr>
        <w:pStyle w:val="ListParagraph"/>
        <w:numPr>
          <w:ilvl w:val="0"/>
          <w:numId w:val="5"/>
        </w:numPr>
        <w:jc w:val="both"/>
      </w:pPr>
      <w:r>
        <w:t xml:space="preserve">Finally, </w:t>
      </w:r>
      <w:r w:rsidR="00C77039">
        <w:t xml:space="preserve">GLM records were </w:t>
      </w:r>
      <w:r w:rsidR="00B57719">
        <w:t>also deleted</w:t>
      </w:r>
      <w:r w:rsidR="00C77039">
        <w:t xml:space="preserve"> where</w:t>
      </w:r>
      <w:r w:rsidR="005757EB">
        <w:t xml:space="preserve"> either</w:t>
      </w:r>
      <w:r w:rsidR="00B57719">
        <w:t xml:space="preserve"> the</w:t>
      </w:r>
      <w:r w:rsidR="00C77039">
        <w:t xml:space="preserve"> number of d</w:t>
      </w:r>
      <w:r>
        <w:t>ays fished was not recorded (204</w:t>
      </w:r>
      <w:r w:rsidR="00B57719">
        <w:t>), the area fished was not recorded (</w:t>
      </w:r>
      <w:r>
        <w:t>610</w:t>
      </w:r>
      <w:r w:rsidR="00B57719">
        <w:t>), the record pertai</w:t>
      </w:r>
      <w:r>
        <w:t>ned to the TVH logbook data (359</w:t>
      </w:r>
      <w:r w:rsidR="00B57719">
        <w:t xml:space="preserve">) as the structure of the data for these records was different, or the weight of the catch was zero </w:t>
      </w:r>
      <w:r>
        <w:t>(25</w:t>
      </w:r>
      <w:r w:rsidR="003370BA">
        <w:t xml:space="preserve">) </w:t>
      </w:r>
      <w:r w:rsidR="00B57719">
        <w:t>or greater than 1000 kg</w:t>
      </w:r>
      <w:r>
        <w:t xml:space="preserve"> (13</w:t>
      </w:r>
      <w:r w:rsidR="003370BA">
        <w:t>)</w:t>
      </w:r>
      <w:r w:rsidR="0019361E">
        <w:t>;</w:t>
      </w:r>
    </w:p>
    <w:p w:rsidR="00157E13" w:rsidRDefault="00157E13" w:rsidP="00723180">
      <w:pPr>
        <w:pStyle w:val="ListParagraph"/>
        <w:numPr>
          <w:ilvl w:val="0"/>
          <w:numId w:val="5"/>
        </w:numPr>
        <w:jc w:val="both"/>
      </w:pPr>
      <w:r>
        <w:t xml:space="preserve">This </w:t>
      </w:r>
      <w:r w:rsidR="00292B26">
        <w:t>process resulted in 31,377</w:t>
      </w:r>
      <w:r>
        <w:t xml:space="preserve"> GLM records</w:t>
      </w:r>
      <w:r w:rsidR="00FA600C">
        <w:t xml:space="preserve"> being created and selected</w:t>
      </w:r>
      <w:r>
        <w:t>.</w:t>
      </w:r>
    </w:p>
    <w:p w:rsidR="00BA3421" w:rsidRDefault="00BA3421" w:rsidP="00BA3421">
      <w:pPr>
        <w:jc w:val="both"/>
      </w:pPr>
    </w:p>
    <w:p w:rsidR="008D1392" w:rsidRDefault="00A156C1" w:rsidP="000842CE">
      <w:pPr>
        <w:jc w:val="both"/>
      </w:pPr>
      <w:r>
        <w:t>The number of GLM records</w:t>
      </w:r>
      <w:r w:rsidR="001F0150">
        <w:t>, and associated nominal CPUE,</w:t>
      </w:r>
      <w:r>
        <w:t xml:space="preserve"> within each year, month, quarter and TIB area and the distribution of</w:t>
      </w:r>
      <w:r w:rsidR="0091458E">
        <w:t xml:space="preserve"> records per fishing method, </w:t>
      </w:r>
      <w:r>
        <w:t xml:space="preserve">days-fished </w:t>
      </w:r>
      <w:r w:rsidR="0091458E">
        <w:t xml:space="preserve">and the percent of the catch which are tailed lobsters </w:t>
      </w:r>
      <w:r w:rsidR="00BE34E4">
        <w:t>are shown in Tables 6</w:t>
      </w:r>
      <w:r w:rsidR="001F0150">
        <w:t xml:space="preserve">a&amp;b (and for each 2-way combination of the year, quarter and area effects in Appendix B). </w:t>
      </w:r>
      <w:r>
        <w:t>Due t</w:t>
      </w:r>
      <w:r w:rsidR="001F0150">
        <w:t>o the small number of records in</w:t>
      </w:r>
      <w:r>
        <w:t xml:space="preserve"> some </w:t>
      </w:r>
      <w:r w:rsidR="0091458E">
        <w:t xml:space="preserve">TIB </w:t>
      </w:r>
      <w:r>
        <w:t>areas, the</w:t>
      </w:r>
      <w:r w:rsidR="001F0150">
        <w:t>se</w:t>
      </w:r>
      <w:r>
        <w:t xml:space="preserve"> records were combined with the records in </w:t>
      </w:r>
      <w:r w:rsidR="007C2B6B">
        <w:t xml:space="preserve">an </w:t>
      </w:r>
      <w:r>
        <w:t xml:space="preserve">adjacent area so that the minimum number of records in any area was </w:t>
      </w:r>
      <w:r w:rsidR="001F0150">
        <w:t>more</w:t>
      </w:r>
      <w:r>
        <w:t xml:space="preserve"> than 200. </w:t>
      </w:r>
      <w:r w:rsidR="0091458E">
        <w:t xml:space="preserve">This resulted in twelve areas to be used as spatial effects in the GLM analysis. </w:t>
      </w:r>
      <w:r>
        <w:t xml:space="preserve">Furthermore, </w:t>
      </w:r>
      <w:r w:rsidR="007C2B6B">
        <w:t>for</w:t>
      </w:r>
      <w:r>
        <w:t xml:space="preserve"> </w:t>
      </w:r>
      <w:r w:rsidR="001F0150">
        <w:t xml:space="preserve">all </w:t>
      </w:r>
      <w:r>
        <w:t>records whe</w:t>
      </w:r>
      <w:r w:rsidR="007C2B6B">
        <w:t>re more than one fishing method</w:t>
      </w:r>
      <w:r>
        <w:t xml:space="preserve"> was used </w:t>
      </w:r>
      <w:r w:rsidR="007C2B6B">
        <w:t xml:space="preserve">the fishing method was </w:t>
      </w:r>
      <w:r w:rsidR="001F0150">
        <w:t>termed</w:t>
      </w:r>
      <w:r>
        <w:t xml:space="preserve"> Mixed</w:t>
      </w:r>
      <w:r w:rsidR="007C2B6B">
        <w:t xml:space="preserve">. </w:t>
      </w:r>
      <w:r w:rsidR="001F0150">
        <w:t>Consequently</w:t>
      </w:r>
      <w:r w:rsidR="007C2B6B">
        <w:t>, only three types of fishing method</w:t>
      </w:r>
      <w:r w:rsidR="001F0150">
        <w:t>s</w:t>
      </w:r>
      <w:r w:rsidR="007C2B6B">
        <w:t xml:space="preserve"> </w:t>
      </w:r>
      <w:r w:rsidR="008262D8">
        <w:t>were in</w:t>
      </w:r>
      <w:r w:rsidR="007C2B6B">
        <w:t xml:space="preserve"> the data</w:t>
      </w:r>
      <w:r>
        <w:t xml:space="preserve">. </w:t>
      </w:r>
      <w:r w:rsidR="008262D8">
        <w:t xml:space="preserve">There were </w:t>
      </w:r>
      <w:r w:rsidR="001F0150">
        <w:t xml:space="preserve">also </w:t>
      </w:r>
      <w:r w:rsidR="00BF3E12">
        <w:t>893</w:t>
      </w:r>
      <w:r w:rsidR="008262D8">
        <w:t xml:space="preserve"> distinct seller-names (unk</w:t>
      </w:r>
      <w:r w:rsidR="000842CE">
        <w:t>nown for only 9 recor</w:t>
      </w:r>
      <w:r w:rsidR="00BF3E12">
        <w:t>ds) and 564</w:t>
      </w:r>
      <w:r w:rsidR="008262D8">
        <w:t xml:space="preserve"> dist</w:t>
      </w:r>
      <w:r w:rsidR="00BF3E12">
        <w:t>inct vessels (but unknown for 70.7</w:t>
      </w:r>
      <w:r w:rsidR="008262D8">
        <w:t xml:space="preserve">% of all records). </w:t>
      </w:r>
    </w:p>
    <w:p w:rsidR="008D1392" w:rsidRDefault="008D1392" w:rsidP="000842CE">
      <w:pPr>
        <w:jc w:val="both"/>
      </w:pPr>
    </w:p>
    <w:p w:rsidR="000842CE" w:rsidRDefault="005F27C4" w:rsidP="000842CE">
      <w:pPr>
        <w:jc w:val="both"/>
      </w:pPr>
      <w:r>
        <w:t>The</w:t>
      </w:r>
      <w:r w:rsidR="00A156C1">
        <w:t xml:space="preserve"> </w:t>
      </w:r>
      <w:r>
        <w:t xml:space="preserve">large </w:t>
      </w:r>
      <w:r w:rsidR="00A156C1">
        <w:t xml:space="preserve">decline in the number of records </w:t>
      </w:r>
      <w:r>
        <w:t>since 2010 has been noted earlier</w:t>
      </w:r>
      <w:r w:rsidR="00A156C1">
        <w:t xml:space="preserve">, with </w:t>
      </w:r>
      <w:r>
        <w:t>the average number of records per year decreasing from 3608 between 2004 to 2010 to only 1020 between 2011 and 2016 (with only 12</w:t>
      </w:r>
      <w:r w:rsidR="00A156C1">
        <w:t xml:space="preserve"> records </w:t>
      </w:r>
      <w:r w:rsidR="001F0150">
        <w:t xml:space="preserve">in 2013 </w:t>
      </w:r>
      <w:r w:rsidR="00A156C1">
        <w:t xml:space="preserve">due to the fact that many of the fields on the docket-book </w:t>
      </w:r>
      <w:r w:rsidR="001F0150">
        <w:t>were</w:t>
      </w:r>
      <w:r w:rsidR="00A156C1">
        <w:t xml:space="preserve"> being left blank</w:t>
      </w:r>
      <w:r>
        <w:t>)</w:t>
      </w:r>
      <w:r w:rsidR="00A156C1">
        <w:t xml:space="preserve">. For example, of the </w:t>
      </w:r>
      <w:r w:rsidR="003775D9">
        <w:t>1336</w:t>
      </w:r>
      <w:r w:rsidR="000842CE">
        <w:t xml:space="preserve"> records in the docket-book operations data in 2013, the area</w:t>
      </w:r>
      <w:r w:rsidR="003775D9">
        <w:t xml:space="preserve"> fished was not recorded for 979</w:t>
      </w:r>
      <w:r w:rsidR="00572064">
        <w:t xml:space="preserve"> (73</w:t>
      </w:r>
      <w:r w:rsidR="000842CE">
        <w:t>%) records and the days</w:t>
      </w:r>
      <w:r w:rsidR="00572064">
        <w:t xml:space="preserve"> fished and fishing </w:t>
      </w:r>
      <w:r w:rsidR="003775D9">
        <w:t>method were not recorded for 930</w:t>
      </w:r>
      <w:r w:rsidR="00572064">
        <w:t xml:space="preserve"> (69</w:t>
      </w:r>
      <w:r w:rsidR="000842CE">
        <w:t>%) records</w:t>
      </w:r>
      <w:r w:rsidR="00572064">
        <w:t xml:space="preserve"> (c.f. Figure 3</w:t>
      </w:r>
      <w:r w:rsidR="003775D9">
        <w:t>b</w:t>
      </w:r>
      <w:r w:rsidR="00572064">
        <w:t>)</w:t>
      </w:r>
      <w:r w:rsidR="000842CE">
        <w:t xml:space="preserve">. </w:t>
      </w:r>
      <w:r w:rsidR="00572064">
        <w:t>This improved significantly during 2014 when these</w:t>
      </w:r>
      <w:r w:rsidR="003775D9">
        <w:t xml:space="preserve"> fields were not recorded for 20%, 18% and 1</w:t>
      </w:r>
      <w:r w:rsidR="00572064">
        <w:t xml:space="preserve">5% respectively. </w:t>
      </w:r>
    </w:p>
    <w:p w:rsidR="000842CE" w:rsidRDefault="000842CE" w:rsidP="00A156C1">
      <w:pPr>
        <w:jc w:val="both"/>
      </w:pPr>
    </w:p>
    <w:p w:rsidR="006D7BA2" w:rsidRDefault="006D7BA2" w:rsidP="00A156C1">
      <w:pPr>
        <w:jc w:val="both"/>
      </w:pPr>
      <w:r>
        <w:br w:type="page"/>
      </w:r>
    </w:p>
    <w:p w:rsidR="0035660C" w:rsidRDefault="00BE34E4" w:rsidP="00F80E4F">
      <w:pPr>
        <w:spacing w:after="120"/>
        <w:jc w:val="both"/>
      </w:pPr>
      <w:r>
        <w:lastRenderedPageBreak/>
        <w:t>Table 6</w:t>
      </w:r>
      <w:r w:rsidR="0035660C">
        <w:t xml:space="preserve">a. Number of </w:t>
      </w:r>
      <w:r w:rsidR="00915658">
        <w:t>GLM</w:t>
      </w:r>
      <w:r w:rsidR="00772F36">
        <w:t xml:space="preserve"> records </w:t>
      </w:r>
      <w:r w:rsidR="009D38D9">
        <w:t>within each</w:t>
      </w:r>
      <w:r w:rsidR="00772F36">
        <w:t xml:space="preserve"> year, month and quarter </w:t>
      </w:r>
      <w:r w:rsidR="0035660C">
        <w:t>and associated nominal catch rate.</w:t>
      </w:r>
    </w:p>
    <w:p w:rsidR="006D7BA2" w:rsidRDefault="00B63B74" w:rsidP="00333E7D">
      <w:r w:rsidRPr="00B63B74">
        <w:rPr>
          <w:noProof/>
        </w:rPr>
        <w:drawing>
          <wp:inline distT="0" distB="0" distL="0" distR="0">
            <wp:extent cx="5731510" cy="2234928"/>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234928"/>
                    </a:xfrm>
                    <a:prstGeom prst="rect">
                      <a:avLst/>
                    </a:prstGeom>
                    <a:noFill/>
                    <a:ln>
                      <a:noFill/>
                    </a:ln>
                  </pic:spPr>
                </pic:pic>
              </a:graphicData>
            </a:graphic>
          </wp:inline>
        </w:drawing>
      </w:r>
    </w:p>
    <w:p w:rsidR="0035660C" w:rsidRDefault="00BE34E4" w:rsidP="00333E7D">
      <w:pPr>
        <w:spacing w:before="120" w:after="120"/>
        <w:jc w:val="both"/>
      </w:pPr>
      <w:r>
        <w:t>Table 6</w:t>
      </w:r>
      <w:r w:rsidR="0035660C">
        <w:t xml:space="preserve">b. </w:t>
      </w:r>
      <w:r w:rsidR="009D38D9">
        <w:t xml:space="preserve">Number of GLM records </w:t>
      </w:r>
      <w:r w:rsidR="00B94FBA">
        <w:t>within each</w:t>
      </w:r>
      <w:r w:rsidR="008D4F7A">
        <w:t xml:space="preserve"> </w:t>
      </w:r>
      <w:r w:rsidR="001B7B14">
        <w:t xml:space="preserve">TIB </w:t>
      </w:r>
      <w:r w:rsidR="00772F36">
        <w:t>area</w:t>
      </w:r>
      <w:r w:rsidR="009D38D9">
        <w:t xml:space="preserve"> and distribution across each</w:t>
      </w:r>
      <w:r w:rsidR="0035660C">
        <w:t xml:space="preserve"> </w:t>
      </w:r>
      <w:r w:rsidR="009D38D9">
        <w:t xml:space="preserve">recorded </w:t>
      </w:r>
      <w:r w:rsidR="008D4F7A">
        <w:t>fishing method</w:t>
      </w:r>
      <w:r w:rsidR="001B7B14">
        <w:t xml:space="preserve"> and days-fished</w:t>
      </w:r>
      <w:r w:rsidR="008D4F7A">
        <w:t xml:space="preserve"> and the </w:t>
      </w:r>
      <w:r w:rsidR="0035660C">
        <w:t>associated nominal catch rate.</w:t>
      </w:r>
    </w:p>
    <w:p w:rsidR="0035660C" w:rsidRDefault="00F90712">
      <w:r w:rsidRPr="00F90712">
        <w:rPr>
          <w:noProof/>
        </w:rPr>
        <w:drawing>
          <wp:inline distT="0" distB="0" distL="0" distR="0">
            <wp:extent cx="5731510" cy="35680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68018"/>
                    </a:xfrm>
                    <a:prstGeom prst="rect">
                      <a:avLst/>
                    </a:prstGeom>
                    <a:noFill/>
                    <a:ln>
                      <a:noFill/>
                    </a:ln>
                  </pic:spPr>
                </pic:pic>
              </a:graphicData>
            </a:graphic>
          </wp:inline>
        </w:drawing>
      </w:r>
    </w:p>
    <w:p w:rsidR="00F90A0E" w:rsidRDefault="00F90A0E" w:rsidP="00242EBB">
      <w:pPr>
        <w:jc w:val="both"/>
      </w:pPr>
    </w:p>
    <w:p w:rsidR="00E96BF6" w:rsidRDefault="000178DD" w:rsidP="00333E7D">
      <w:pPr>
        <w:jc w:val="both"/>
      </w:pPr>
      <w:r>
        <w:t xml:space="preserve">Unlike the TVH data where the measure of effort is hours-fished, the measure of effort for the TIB data is coarser, being days-fished. Furthermore, and as noted above, it has been assumed that each selected GLM record pertains to the catch and effort of a single fisher (or seller) </w:t>
      </w:r>
      <w:r w:rsidR="00333E7D">
        <w:t>during a given trip, i.e. it is assumed that the measure of effort (i.e. days fished) associated with each GLM record also pertains to the actual effort expended by that seller in obtaining the</w:t>
      </w:r>
      <w:r w:rsidR="00A86F02">
        <w:t xml:space="preserve"> </w:t>
      </w:r>
      <w:r w:rsidR="00242EBB">
        <w:t xml:space="preserve">recorded catch. </w:t>
      </w:r>
      <w:r w:rsidR="00A92249">
        <w:t xml:space="preserve">While the number of days fished for each Record-No in the GLM data is unique, there are </w:t>
      </w:r>
      <w:r w:rsidR="00242EBB">
        <w:t xml:space="preserve">instances </w:t>
      </w:r>
      <w:r w:rsidR="00A92249">
        <w:t xml:space="preserve">nevertheless where for the same vessel, date and seller </w:t>
      </w:r>
      <w:r w:rsidR="00242EBB">
        <w:t>there are multiple Record</w:t>
      </w:r>
      <w:r w:rsidR="00A412D0">
        <w:t>-</w:t>
      </w:r>
      <w:r w:rsidR="00242EBB">
        <w:t>Nos where the num</w:t>
      </w:r>
      <w:r>
        <w:t>ber of days fished is different</w:t>
      </w:r>
      <w:r w:rsidR="00333E7D">
        <w:t xml:space="preserve">. </w:t>
      </w:r>
      <w:r w:rsidR="00AF77B3">
        <w:t>Investigation of this issue undertaken with the AFMA data section indicated that the dates associated with these docket-book forms were most likely not correct (Campbell 2016a).</w:t>
      </w:r>
    </w:p>
    <w:p w:rsidR="00E96BF6" w:rsidRPr="007126F2" w:rsidRDefault="00E96BF6" w:rsidP="00E96BF6"/>
    <w:p w:rsidR="005B1FCE" w:rsidRPr="00DA624C" w:rsidRDefault="00803F4F">
      <w:pPr>
        <w:rPr>
          <w:b/>
        </w:rPr>
      </w:pPr>
      <w:r>
        <w:rPr>
          <w:b/>
        </w:rPr>
        <w:lastRenderedPageBreak/>
        <w:t>4</w:t>
      </w:r>
      <w:r w:rsidR="005B1FCE" w:rsidRPr="00DA624C">
        <w:rPr>
          <w:b/>
        </w:rPr>
        <w:t xml:space="preserve">. </w:t>
      </w:r>
      <w:r w:rsidR="007D204F">
        <w:rPr>
          <w:b/>
        </w:rPr>
        <w:t>General Linear Model Analysis</w:t>
      </w:r>
    </w:p>
    <w:p w:rsidR="00DA624C" w:rsidRDefault="00DA624C"/>
    <w:p w:rsidR="00BE7518" w:rsidRDefault="00050B7A" w:rsidP="00BB0995">
      <w:pPr>
        <w:jc w:val="both"/>
      </w:pPr>
      <w:r>
        <w:t xml:space="preserve">As with the analysis of the TVH data in previous years, General Linear Models </w:t>
      </w:r>
      <w:r w:rsidR="000130A9">
        <w:t xml:space="preserve">(GLM) </w:t>
      </w:r>
      <w:r>
        <w:t xml:space="preserve">were fitted to the </w:t>
      </w:r>
      <w:r w:rsidR="00755572">
        <w:t xml:space="preserve">TIB </w:t>
      </w:r>
      <w:r>
        <w:t>data</w:t>
      </w:r>
      <w:r w:rsidR="009A63B6">
        <w:t xml:space="preserve"> selected in the previous section</w:t>
      </w:r>
      <w:r>
        <w:t xml:space="preserve"> in order to standardise </w:t>
      </w:r>
      <w:r w:rsidR="00C35471">
        <w:t xml:space="preserve">the CPUE to account </w:t>
      </w:r>
      <w:r>
        <w:t>for changes in the distribution of records across a num</w:t>
      </w:r>
      <w:r w:rsidR="003264CA">
        <w:t>b</w:t>
      </w:r>
      <w:r>
        <w:t xml:space="preserve">er of effects (Year, Month, Quarter, Area and Fishing-Method). </w:t>
      </w:r>
      <w:r w:rsidR="00AB1726">
        <w:t xml:space="preserve"> </w:t>
      </w:r>
      <w:r w:rsidR="00BE7518">
        <w:t>As mentioned previous</w:t>
      </w:r>
      <w:r w:rsidR="00AB1726">
        <w:t>ly</w:t>
      </w:r>
      <w:r w:rsidR="00BE7518">
        <w:t>, the measure of effort for the TIB data is days-fished. The catch rate associated with each GLM record was then defined to</w:t>
      </w:r>
      <w:r w:rsidR="004F5198">
        <w:t xml:space="preserve"> be</w:t>
      </w:r>
      <w:r w:rsidR="00BE7518">
        <w:t xml:space="preserve"> the mean weight of lobsters caught per day-fished, i.e. </w:t>
      </w:r>
    </w:p>
    <w:p w:rsidR="00BE7518" w:rsidRDefault="00BE7518" w:rsidP="00BE7518">
      <w:pPr>
        <w:spacing w:before="120" w:after="120"/>
        <w:jc w:val="both"/>
      </w:pPr>
      <m:oMathPara>
        <m:oMath>
          <m:r>
            <w:rPr>
              <w:rFonts w:ascii="Cambria Math" w:hAnsi="Cambria Math"/>
            </w:rPr>
            <m:t xml:space="preserve">CPUE= </m:t>
          </m:r>
          <m:f>
            <m:fPr>
              <m:ctrlPr>
                <w:rPr>
                  <w:rFonts w:ascii="Cambria Math" w:hAnsi="Cambria Math"/>
                  <w:i/>
                </w:rPr>
              </m:ctrlPr>
            </m:fPr>
            <m:num>
              <m:r>
                <w:rPr>
                  <w:rFonts w:ascii="Cambria Math" w:hAnsi="Cambria Math"/>
                </w:rPr>
                <m:t>Weight of landed lobsters</m:t>
              </m:r>
            </m:num>
            <m:den>
              <m:r>
                <w:rPr>
                  <w:rFonts w:ascii="Cambria Math" w:hAnsi="Cambria Math"/>
                </w:rPr>
                <m:t>Number of days fished</m:t>
              </m:r>
            </m:den>
          </m:f>
        </m:oMath>
      </m:oMathPara>
    </w:p>
    <w:p w:rsidR="00AB1726" w:rsidRDefault="00C77269" w:rsidP="00895F02">
      <w:pPr>
        <w:jc w:val="both"/>
      </w:pPr>
      <w:r>
        <w:t>In order to investigate the influence of the various effects on the catch rate associated with each GLM data record, t</w:t>
      </w:r>
      <w:r w:rsidR="00543B0B">
        <w:t xml:space="preserve">he </w:t>
      </w:r>
      <w:r w:rsidR="003547FD">
        <w:t xml:space="preserve">following </w:t>
      </w:r>
      <w:r w:rsidR="009129B4">
        <w:t>two</w:t>
      </w:r>
      <w:r w:rsidR="00412D3D">
        <w:t xml:space="preserve"> </w:t>
      </w:r>
      <w:r w:rsidR="003547FD">
        <w:t xml:space="preserve">models </w:t>
      </w:r>
      <w:r w:rsidR="00050B7A">
        <w:t>were</w:t>
      </w:r>
      <w:r w:rsidR="003547FD">
        <w:t xml:space="preserve"> </w:t>
      </w:r>
      <w:r w:rsidR="00543B0B">
        <w:t xml:space="preserve">fitted to the data </w:t>
      </w:r>
      <w:r w:rsidR="00D71581">
        <w:t xml:space="preserve">records </w:t>
      </w:r>
      <w:r w:rsidR="00543B0B">
        <w:t xml:space="preserve">described in the </w:t>
      </w:r>
      <w:r w:rsidR="00C01AE0">
        <w:t xml:space="preserve">previous section. </w:t>
      </w:r>
      <w:r w:rsidR="000130A9">
        <w:t>All GLM</w:t>
      </w:r>
      <w:r w:rsidR="00515825">
        <w:t>s</w:t>
      </w:r>
      <w:r w:rsidR="000130A9">
        <w:t xml:space="preserve"> were weighte</w:t>
      </w:r>
      <w:r w:rsidR="00BD6447">
        <w:t>d as described in Campbell (2016</w:t>
      </w:r>
      <w:r w:rsidR="0032453D">
        <w:t>c</w:t>
      </w:r>
      <w:r w:rsidR="000130A9">
        <w:t xml:space="preserve">). </w:t>
      </w:r>
    </w:p>
    <w:p w:rsidR="00DA624C" w:rsidRDefault="00DA624C"/>
    <w:p w:rsidR="00011496" w:rsidRDefault="00585EF9" w:rsidP="00585EF9">
      <w:pPr>
        <w:spacing w:after="240"/>
      </w:pPr>
      <w:r w:rsidRPr="00DA624C">
        <w:t>GLM</w:t>
      </w:r>
      <w:r>
        <w:t>-1: Main Effects only</w:t>
      </w:r>
    </w:p>
    <w:p w:rsidR="005028AF" w:rsidRPr="00DA624C" w:rsidRDefault="005028AF" w:rsidP="005028AF">
      <w:pPr>
        <w:jc w:val="both"/>
        <w:rPr>
          <w:u w:val="single"/>
        </w:rPr>
      </w:pPr>
      <w:r w:rsidRPr="00DA624C">
        <w:tab/>
      </w:r>
      <w:r w:rsidRPr="006D1574">
        <w:rPr>
          <w:i/>
        </w:rPr>
        <w:t>CPUE</w:t>
      </w:r>
      <w:r>
        <w:rPr>
          <w:i/>
        </w:rPr>
        <w:t xml:space="preserve"> </w:t>
      </w:r>
      <w:r>
        <w:t xml:space="preserve">= </w:t>
      </w:r>
      <w:r>
        <w:rPr>
          <w:i/>
        </w:rPr>
        <w:t>Intercept + Year +</w:t>
      </w:r>
      <w:r w:rsidRPr="009129B4">
        <w:rPr>
          <w:i/>
        </w:rPr>
        <w:t>Q</w:t>
      </w:r>
      <w:r w:rsidR="009129B4" w:rsidRPr="009129B4">
        <w:rPr>
          <w:i/>
        </w:rPr>
        <w:t>uar</w:t>
      </w:r>
      <w:r w:rsidRPr="009129B4">
        <w:rPr>
          <w:i/>
        </w:rPr>
        <w:t>t</w:t>
      </w:r>
      <w:r w:rsidR="009129B4" w:rsidRPr="009129B4">
        <w:rPr>
          <w:i/>
        </w:rPr>
        <w:t>e</w:t>
      </w:r>
      <w:r w:rsidRPr="009129B4">
        <w:rPr>
          <w:i/>
        </w:rPr>
        <w:t>r</w:t>
      </w:r>
      <w:r w:rsidRPr="00DC7F33">
        <w:rPr>
          <w:i/>
        </w:rPr>
        <w:t xml:space="preserve"> </w:t>
      </w:r>
      <w:r w:rsidR="003C3DBA">
        <w:rPr>
          <w:i/>
        </w:rPr>
        <w:t>+ Area +</w:t>
      </w:r>
      <w:r w:rsidRPr="00DC7F33">
        <w:rPr>
          <w:i/>
        </w:rPr>
        <w:t>Method</w:t>
      </w:r>
      <w:r w:rsidR="003C3DBA">
        <w:rPr>
          <w:i/>
        </w:rPr>
        <w:t xml:space="preserve"> + Proportion-</w:t>
      </w:r>
      <w:r w:rsidR="009129B4">
        <w:rPr>
          <w:i/>
        </w:rPr>
        <w:t>Tails + SOI</w:t>
      </w:r>
    </w:p>
    <w:p w:rsidR="005028AF" w:rsidRDefault="005028AF" w:rsidP="005028AF">
      <w:pPr>
        <w:ind w:left="720" w:firstLine="720"/>
        <w:jc w:val="both"/>
      </w:pPr>
      <w:r>
        <w:tab/>
      </w:r>
      <w:r>
        <w:tab/>
        <w:t xml:space="preserve">/ </w:t>
      </w:r>
      <w:proofErr w:type="gramStart"/>
      <w:r>
        <w:t>distribution</w:t>
      </w:r>
      <w:proofErr w:type="gramEnd"/>
      <w:r>
        <w:t xml:space="preserve"> = </w:t>
      </w:r>
      <w:r w:rsidR="00585EF9">
        <w:t>gamma</w:t>
      </w:r>
      <w:r w:rsidR="00F82651">
        <w:t>, link = log</w:t>
      </w:r>
    </w:p>
    <w:p w:rsidR="00585EF9" w:rsidRDefault="00B73B27" w:rsidP="00F05DAC">
      <w:pPr>
        <w:spacing w:before="240" w:after="240"/>
        <w:jc w:val="both"/>
      </w:pPr>
      <w:r w:rsidRPr="00DA624C">
        <w:t>GLM</w:t>
      </w:r>
      <w:r>
        <w:t>-2:</w:t>
      </w:r>
      <w:r w:rsidR="00585EF9">
        <w:t xml:space="preserve"> Main Effects + Quarter*Area Interaction</w:t>
      </w:r>
    </w:p>
    <w:p w:rsidR="00585EF9" w:rsidRPr="00DA624C" w:rsidRDefault="00585EF9" w:rsidP="00585EF9">
      <w:pPr>
        <w:jc w:val="both"/>
        <w:rPr>
          <w:u w:val="single"/>
        </w:rPr>
      </w:pPr>
      <w:r w:rsidRPr="00DA624C">
        <w:tab/>
      </w:r>
      <w:r w:rsidRPr="006D1574">
        <w:rPr>
          <w:i/>
        </w:rPr>
        <w:t>CPUE</w:t>
      </w:r>
      <w:r>
        <w:rPr>
          <w:i/>
        </w:rPr>
        <w:t xml:space="preserve"> </w:t>
      </w:r>
      <w:r>
        <w:t xml:space="preserve">= </w:t>
      </w:r>
      <w:r>
        <w:rPr>
          <w:i/>
        </w:rPr>
        <w:t>Intercept + Year +</w:t>
      </w:r>
      <w:r w:rsidR="009129B4" w:rsidRPr="009129B4">
        <w:rPr>
          <w:i/>
          <w:u w:val="single"/>
        </w:rPr>
        <w:t xml:space="preserve"> </w:t>
      </w:r>
      <w:r w:rsidR="009129B4" w:rsidRPr="009129B4">
        <w:rPr>
          <w:i/>
        </w:rPr>
        <w:t>Quarter</w:t>
      </w:r>
      <w:r w:rsidR="009129B4" w:rsidRPr="00DC7F33">
        <w:rPr>
          <w:i/>
        </w:rPr>
        <w:t xml:space="preserve"> </w:t>
      </w:r>
      <w:r w:rsidR="003C3DBA">
        <w:rPr>
          <w:i/>
        </w:rPr>
        <w:t>*Area +</w:t>
      </w:r>
      <w:r w:rsidRPr="00DC7F33">
        <w:rPr>
          <w:i/>
        </w:rPr>
        <w:t>Method</w:t>
      </w:r>
      <w:r w:rsidR="009129B4">
        <w:rPr>
          <w:i/>
        </w:rPr>
        <w:t xml:space="preserve">+ </w:t>
      </w:r>
      <w:r w:rsidR="003C3DBA">
        <w:rPr>
          <w:i/>
        </w:rPr>
        <w:t>Proportion-</w:t>
      </w:r>
      <w:r w:rsidR="009129B4">
        <w:rPr>
          <w:i/>
        </w:rPr>
        <w:t>Tails + SOI</w:t>
      </w:r>
    </w:p>
    <w:p w:rsidR="00585EF9" w:rsidRDefault="00585EF9" w:rsidP="00585EF9">
      <w:pPr>
        <w:ind w:left="720" w:firstLine="720"/>
        <w:jc w:val="both"/>
      </w:pPr>
      <w:r>
        <w:tab/>
      </w:r>
      <w:r>
        <w:tab/>
        <w:t xml:space="preserve">/ </w:t>
      </w:r>
      <w:proofErr w:type="gramStart"/>
      <w:r>
        <w:t>distribution</w:t>
      </w:r>
      <w:proofErr w:type="gramEnd"/>
      <w:r>
        <w:t xml:space="preserve"> = gamma, link =</w:t>
      </w:r>
      <w:r w:rsidR="00F82651">
        <w:t xml:space="preserve"> log</w:t>
      </w:r>
    </w:p>
    <w:p w:rsidR="009129B4" w:rsidRDefault="00F05DAC" w:rsidP="00A35BA7">
      <w:pPr>
        <w:jc w:val="both"/>
      </w:pPr>
      <w:proofErr w:type="gramStart"/>
      <w:r>
        <w:t>w</w:t>
      </w:r>
      <w:r w:rsidR="009129B4">
        <w:t>here</w:t>
      </w:r>
      <w:proofErr w:type="gramEnd"/>
      <w:r w:rsidR="009129B4">
        <w:t>:</w:t>
      </w:r>
      <w:r w:rsidR="009129B4">
        <w:tab/>
      </w:r>
    </w:p>
    <w:p w:rsidR="009129B4" w:rsidRDefault="00F05DAC" w:rsidP="009129B4">
      <w:pPr>
        <w:pStyle w:val="ListParagraph"/>
        <w:numPr>
          <w:ilvl w:val="0"/>
          <w:numId w:val="8"/>
        </w:numPr>
        <w:jc w:val="both"/>
      </w:pPr>
      <w:r w:rsidRPr="003C3DBA">
        <w:rPr>
          <w:i/>
        </w:rPr>
        <w:t>Year</w:t>
      </w:r>
      <w:r>
        <w:t xml:space="preserve"> has</w:t>
      </w:r>
      <w:r w:rsidR="009129B4">
        <w:t xml:space="preserve"> 12 levels: 2004-2012, 2014-2016</w:t>
      </w:r>
      <w:r w:rsidR="00D826C8">
        <w:t xml:space="preserve"> (</w:t>
      </w:r>
      <w:r w:rsidR="00CD3C5D">
        <w:t>see below)</w:t>
      </w:r>
    </w:p>
    <w:p w:rsidR="009129B4" w:rsidRDefault="009129B4" w:rsidP="009129B4">
      <w:pPr>
        <w:pStyle w:val="ListParagraph"/>
        <w:numPr>
          <w:ilvl w:val="0"/>
          <w:numId w:val="8"/>
        </w:numPr>
        <w:jc w:val="both"/>
      </w:pPr>
      <w:r w:rsidRPr="003C3DBA">
        <w:rPr>
          <w:i/>
        </w:rPr>
        <w:t>Quarter</w:t>
      </w:r>
      <w:r>
        <w:t xml:space="preserve"> has 4 levels: (1) Jan-Mar, (2) Apr-Jun, (3) Jul-Sep, and (4) Oct-Dec.</w:t>
      </w:r>
    </w:p>
    <w:p w:rsidR="009129B4" w:rsidRDefault="009129B4" w:rsidP="009129B4">
      <w:pPr>
        <w:pStyle w:val="ListParagraph"/>
        <w:numPr>
          <w:ilvl w:val="0"/>
          <w:numId w:val="8"/>
        </w:numPr>
        <w:jc w:val="both"/>
      </w:pPr>
      <w:r w:rsidRPr="003C3DBA">
        <w:rPr>
          <w:i/>
        </w:rPr>
        <w:t>Area</w:t>
      </w:r>
      <w:r>
        <w:t xml:space="preserve"> has the 12 levels as shown in Table </w:t>
      </w:r>
      <w:r w:rsidR="00BE34E4">
        <w:t>6</w:t>
      </w:r>
      <w:r>
        <w:t>b.</w:t>
      </w:r>
    </w:p>
    <w:p w:rsidR="00F05DAC" w:rsidRDefault="003C3DBA" w:rsidP="009129B4">
      <w:pPr>
        <w:pStyle w:val="ListParagraph"/>
        <w:numPr>
          <w:ilvl w:val="0"/>
          <w:numId w:val="8"/>
        </w:numPr>
        <w:jc w:val="both"/>
      </w:pPr>
      <w:r w:rsidRPr="003C3DBA">
        <w:rPr>
          <w:i/>
        </w:rPr>
        <w:t>Fishing-</w:t>
      </w:r>
      <w:r w:rsidR="00F05DAC" w:rsidRPr="003C3DBA">
        <w:rPr>
          <w:i/>
        </w:rPr>
        <w:t>Method</w:t>
      </w:r>
      <w:r w:rsidR="00F05DAC">
        <w:t xml:space="preserve"> has 3 levels: (1) Hookah, (2) Free Diving, and (3) Mixed methods</w:t>
      </w:r>
    </w:p>
    <w:p w:rsidR="00F05DAC" w:rsidRDefault="003C3DBA" w:rsidP="009129B4">
      <w:pPr>
        <w:pStyle w:val="ListParagraph"/>
        <w:numPr>
          <w:ilvl w:val="0"/>
          <w:numId w:val="8"/>
        </w:numPr>
        <w:jc w:val="both"/>
      </w:pPr>
      <w:r>
        <w:rPr>
          <w:i/>
        </w:rPr>
        <w:t>Proportion</w:t>
      </w:r>
      <w:r w:rsidRPr="003C3DBA">
        <w:t>-</w:t>
      </w:r>
      <w:r w:rsidR="00F05DAC" w:rsidRPr="003C3DBA">
        <w:t>Tails</w:t>
      </w:r>
      <w:r w:rsidR="00F05DAC">
        <w:t xml:space="preserve"> has 5 levels: (1) &lt;20%, (2) 20-40%, (3) 40-60%, (4) 60-80%, and (5) </w:t>
      </w:r>
      <w:r w:rsidR="00F05DAC">
        <w:rPr>
          <w:rFonts w:ascii="Calibri" w:hAnsi="Calibri"/>
        </w:rPr>
        <w:t>≥</w:t>
      </w:r>
      <w:r w:rsidR="00F05DAC">
        <w:t>80%</w:t>
      </w:r>
    </w:p>
    <w:p w:rsidR="00F05DAC" w:rsidRDefault="00F05DAC" w:rsidP="009129B4">
      <w:pPr>
        <w:pStyle w:val="ListParagraph"/>
        <w:numPr>
          <w:ilvl w:val="0"/>
          <w:numId w:val="8"/>
        </w:numPr>
        <w:jc w:val="both"/>
      </w:pPr>
      <w:r w:rsidRPr="003C3DBA">
        <w:rPr>
          <w:i/>
        </w:rPr>
        <w:t>SOI</w:t>
      </w:r>
      <w:r>
        <w:t xml:space="preserve"> is the monthly value of the Southern Oscillation Index</w:t>
      </w:r>
    </w:p>
    <w:p w:rsidR="00F05DAC" w:rsidRDefault="00F05DAC" w:rsidP="00A35BA7">
      <w:pPr>
        <w:jc w:val="both"/>
      </w:pPr>
      <w:r>
        <w:t>All effects were fitted as categorical effects except for SOI which was fitted as a continuous variable.</w:t>
      </w:r>
    </w:p>
    <w:p w:rsidR="00F05DAC" w:rsidRDefault="00F05DAC" w:rsidP="00A35BA7">
      <w:pPr>
        <w:jc w:val="both"/>
      </w:pPr>
    </w:p>
    <w:p w:rsidR="00120A2D" w:rsidRDefault="00120A2D" w:rsidP="00A35BA7">
      <w:pPr>
        <w:jc w:val="both"/>
      </w:pPr>
      <w:r>
        <w:t xml:space="preserve">The </w:t>
      </w:r>
      <w:r w:rsidR="00CD3C5D">
        <w:t xml:space="preserve">above </w:t>
      </w:r>
      <w:r>
        <w:t xml:space="preserve">models were fitted to the TIB described in the previous section with the following filters: a) the 12 data records for 2013 </w:t>
      </w:r>
      <w:r w:rsidR="003C3DBA">
        <w:t>were</w:t>
      </w:r>
      <w:r>
        <w:t xml:space="preserve"> excluded due to the small number of records for this year, b) the 64 data records where the number of days fished was greater than 9 were excluded as the mean catch rates for these records was substantially below those where the number of days fished was betw</w:t>
      </w:r>
      <w:r w:rsidR="0005412C">
        <w:t xml:space="preserve">een 1 and 9 days, </w:t>
      </w:r>
      <w:r w:rsidR="00DC51FA">
        <w:t xml:space="preserve">and </w:t>
      </w:r>
      <w:r w:rsidR="0005412C">
        <w:t xml:space="preserve">c) </w:t>
      </w:r>
      <w:r w:rsidR="00DC51FA">
        <w:t xml:space="preserve">the </w:t>
      </w:r>
      <w:r w:rsidR="00CD3C5D">
        <w:t>313 records where the catch rate was greater than 300 kilograms per day</w:t>
      </w:r>
      <w:r w:rsidR="003C3DBA">
        <w:t xml:space="preserve"> as these could be outliers</w:t>
      </w:r>
      <w:r w:rsidR="00CD3C5D">
        <w:t xml:space="preserve">. This left a total of 31,016 records. </w:t>
      </w:r>
    </w:p>
    <w:p w:rsidR="00120A2D" w:rsidRDefault="00120A2D" w:rsidP="00A35BA7">
      <w:pPr>
        <w:jc w:val="both"/>
      </w:pPr>
    </w:p>
    <w:p w:rsidR="00E40A96" w:rsidRDefault="00515825" w:rsidP="00A35BA7">
      <w:pPr>
        <w:jc w:val="both"/>
      </w:pPr>
      <w:r>
        <w:t xml:space="preserve">Using the results from each GLM an annual abundance index was constructed based on the standardised CPUE calculated for each </w:t>
      </w:r>
      <w:r w:rsidR="002E37E1">
        <w:t xml:space="preserve">of the </w:t>
      </w:r>
      <w:r w:rsidR="00E56C82">
        <w:t>(</w:t>
      </w:r>
      <w:r>
        <w:t xml:space="preserve">Year, Quarter, </w:t>
      </w:r>
      <w:proofErr w:type="gramStart"/>
      <w:r>
        <w:t>Area</w:t>
      </w:r>
      <w:proofErr w:type="gramEnd"/>
      <w:r w:rsidR="00E56C82">
        <w:t>)</w:t>
      </w:r>
      <w:r w:rsidR="00134B81">
        <w:t xml:space="preserve"> strata. As the standardised -CPUE is taken as an index of the density of fish within each strata, an index of the abundance of lobsters across the fishery in each year and quarter is given by:</w:t>
      </w:r>
    </w:p>
    <w:p w:rsidR="00E40A96" w:rsidRPr="00481DE5" w:rsidRDefault="00A57BF8" w:rsidP="00E40A96">
      <w:pPr>
        <w:spacing w:before="120" w:after="120"/>
        <w:jc w:val="center"/>
        <w:rPr>
          <w:b/>
        </w:rPr>
      </w:pPr>
      <w:r w:rsidRPr="00481DE5">
        <w:rPr>
          <w:b/>
          <w:position w:val="-60"/>
        </w:rPr>
        <w:object w:dxaOrig="64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50.45pt" o:ole="">
            <v:imagedata r:id="rId22" o:title=""/>
          </v:shape>
          <o:OLEObject Type="Embed" ProgID="Equation.3" ShapeID="_x0000_i1025" DrawAspect="Content" ObjectID="_1542340272" r:id="rId23"/>
        </w:object>
      </w:r>
    </w:p>
    <w:p w:rsidR="00A57BF8" w:rsidRDefault="00A57BF8" w:rsidP="00A57BF8">
      <w:pPr>
        <w:jc w:val="both"/>
      </w:pPr>
      <w:r>
        <w:t xml:space="preserve">where </w:t>
      </w:r>
      <w:r w:rsidRPr="00A86051">
        <w:rPr>
          <w:i/>
        </w:rPr>
        <w:t>Area</w:t>
      </w:r>
      <w:r w:rsidRPr="00A86051">
        <w:rPr>
          <w:i/>
          <w:vertAlign w:val="subscript"/>
        </w:rPr>
        <w:t>a</w:t>
      </w:r>
      <w:r>
        <w:t xml:space="preserve"> is the spatial size of each of the </w:t>
      </w:r>
      <w:r w:rsidRPr="00F32427">
        <w:rPr>
          <w:i/>
        </w:rPr>
        <w:t>NA</w:t>
      </w:r>
      <w:r>
        <w:t xml:space="preserve"> </w:t>
      </w:r>
      <w:r w:rsidRPr="000B4F24">
        <w:rPr>
          <w:i/>
        </w:rPr>
        <w:t>Area</w:t>
      </w:r>
      <w:r>
        <w:t xml:space="preserve"> effects included in the GLM. Finally, an index of abundance for each year can be obtained by taking the average of the </w:t>
      </w:r>
      <w:r w:rsidR="00134B81" w:rsidRPr="00134B81">
        <w:rPr>
          <w:i/>
        </w:rPr>
        <w:t>NQ</w:t>
      </w:r>
      <w:r w:rsidR="00134B81">
        <w:t xml:space="preserve"> </w:t>
      </w:r>
      <w:r>
        <w:t>qua</w:t>
      </w:r>
      <w:r w:rsidR="00134B81">
        <w:t>r</w:t>
      </w:r>
      <w:r>
        <w:t>ter</w:t>
      </w:r>
      <w:r w:rsidR="00134B81">
        <w:t xml:space="preserve"> indices</w:t>
      </w:r>
      <w:r>
        <w:t xml:space="preserve"> in each year.</w:t>
      </w:r>
    </w:p>
    <w:p w:rsidR="00A57BF8" w:rsidRDefault="00875BE9" w:rsidP="00A57BF8">
      <w:pPr>
        <w:spacing w:after="120"/>
        <w:jc w:val="center"/>
      </w:pPr>
      <w:r w:rsidRPr="00A86051">
        <w:rPr>
          <w:position w:val="-62"/>
        </w:rPr>
        <w:object w:dxaOrig="6360" w:dyaOrig="1359">
          <v:shape id="_x0000_i1026" type="#_x0000_t75" style="width:318.05pt;height:68.05pt" o:ole="">
            <v:imagedata r:id="rId24" o:title=""/>
          </v:shape>
          <o:OLEObject Type="Embed" ProgID="Equation.3" ShapeID="_x0000_i1026" DrawAspect="Content" ObjectID="_1542340273" r:id="rId25"/>
        </w:object>
      </w:r>
    </w:p>
    <w:p w:rsidR="00A57BF8" w:rsidRDefault="00A57BF8" w:rsidP="00A57BF8">
      <w:r>
        <w:t>Finally, a relative annual abundance index</w:t>
      </w:r>
      <w:r w:rsidRPr="00E1391C">
        <w:rPr>
          <w:i/>
        </w:rPr>
        <w:t>, B</w:t>
      </w:r>
      <w:r w:rsidRPr="00E1391C">
        <w:rPr>
          <w:i/>
          <w:vertAlign w:val="subscript"/>
        </w:rPr>
        <w:t>y</w:t>
      </w:r>
      <w:r>
        <w:t>, was calculated such that the mean index over all years equals 1, i..e:</w:t>
      </w:r>
    </w:p>
    <w:p w:rsidR="00A57BF8" w:rsidRDefault="00A57BF8" w:rsidP="00A57BF8">
      <w:pPr>
        <w:spacing w:after="120"/>
        <w:jc w:val="center"/>
      </w:pPr>
      <w:r w:rsidRPr="00D94078">
        <w:rPr>
          <w:position w:val="-60"/>
        </w:rPr>
        <w:object w:dxaOrig="2840" w:dyaOrig="980">
          <v:shape id="_x0000_i1027" type="#_x0000_t75" style="width:141.75pt;height:48.75pt" o:ole="">
            <v:imagedata r:id="rId26" o:title=""/>
          </v:shape>
          <o:OLEObject Type="Embed" ProgID="Equation.3" ShapeID="_x0000_i1027" DrawAspect="Content" ObjectID="_1542340274" r:id="rId27"/>
        </w:object>
      </w:r>
    </w:p>
    <w:p w:rsidR="00134B81" w:rsidRDefault="00134B81" w:rsidP="00134B81">
      <w:pPr>
        <w:jc w:val="both"/>
      </w:pPr>
      <w:r>
        <w:t xml:space="preserve">For those models which do not included an interaction with the Year effect (i.e. models GLM-1 and GLM-2), the relative abundance index, </w:t>
      </w:r>
      <w:r w:rsidRPr="00E1391C">
        <w:rPr>
          <w:i/>
        </w:rPr>
        <w:t>B</w:t>
      </w:r>
      <w:r w:rsidRPr="00E1391C">
        <w:rPr>
          <w:i/>
          <w:vertAlign w:val="subscript"/>
        </w:rPr>
        <w:t>y</w:t>
      </w:r>
      <w:r>
        <w:t>, reduces to the simpler form:</w:t>
      </w:r>
    </w:p>
    <w:p w:rsidR="00134B81" w:rsidRDefault="00134B81" w:rsidP="00134B81">
      <w:pPr>
        <w:spacing w:before="120" w:after="120"/>
        <w:jc w:val="center"/>
      </w:pPr>
      <w:r w:rsidRPr="00D94078">
        <w:rPr>
          <w:position w:val="-60"/>
        </w:rPr>
        <w:object w:dxaOrig="2040" w:dyaOrig="999">
          <v:shape id="_x0000_i1028" type="#_x0000_t75" style="width:102.05pt;height:50.45pt" o:ole="">
            <v:imagedata r:id="rId28" o:title=""/>
          </v:shape>
          <o:OLEObject Type="Embed" ProgID="Equation.3" ShapeID="_x0000_i1028" DrawAspect="Content" ObjectID="_1542340275" r:id="rId29"/>
        </w:object>
      </w:r>
    </w:p>
    <w:p w:rsidR="00E572C5" w:rsidRDefault="00134B81" w:rsidP="00134B81">
      <w:pPr>
        <w:jc w:val="both"/>
      </w:pPr>
      <w:r>
        <w:t xml:space="preserve">where </w:t>
      </w:r>
      <w:r w:rsidRPr="00D94078">
        <w:rPr>
          <w:i/>
        </w:rPr>
        <w:t>Y</w:t>
      </w:r>
      <w:r>
        <w:rPr>
          <w:i/>
          <w:vertAlign w:val="subscript"/>
        </w:rPr>
        <w:t>i</w:t>
      </w:r>
      <w:r>
        <w:t xml:space="preserve"> , </w:t>
      </w:r>
      <w:r w:rsidRPr="00A8600D">
        <w:rPr>
          <w:i/>
        </w:rPr>
        <w:t>i=1,</w:t>
      </w:r>
      <w:r>
        <w:t xml:space="preserve"> </w:t>
      </w:r>
      <w:r w:rsidRPr="00A8600D">
        <w:rPr>
          <w:i/>
        </w:rPr>
        <w:t>NY</w:t>
      </w:r>
      <w:r>
        <w:t xml:space="preserve"> are the parameters estimates relating to </w:t>
      </w:r>
      <w:r w:rsidRPr="00A8600D">
        <w:rPr>
          <w:i/>
        </w:rPr>
        <w:t>NY</w:t>
      </w:r>
      <w:r>
        <w:t xml:space="preserve"> </w:t>
      </w:r>
      <w:r w:rsidRPr="00A8600D">
        <w:rPr>
          <w:i/>
        </w:rPr>
        <w:t>Year</w:t>
      </w:r>
      <w:r>
        <w:t xml:space="preserve"> effects included in the model. In these situations the abundance is independent of the relative size of each </w:t>
      </w:r>
      <w:r w:rsidRPr="00A8600D">
        <w:rPr>
          <w:i/>
        </w:rPr>
        <w:t>Area</w:t>
      </w:r>
      <w:r>
        <w:t xml:space="preserve"> effect included in the GLM. </w:t>
      </w:r>
    </w:p>
    <w:p w:rsidR="008736D3" w:rsidRDefault="008736D3" w:rsidP="00134B81">
      <w:pPr>
        <w:jc w:val="both"/>
      </w:pPr>
    </w:p>
    <w:p w:rsidR="00644248" w:rsidRDefault="00E56C82" w:rsidP="008736D3">
      <w:pPr>
        <w:jc w:val="both"/>
      </w:pPr>
      <w:r>
        <w:t>No</w:t>
      </w:r>
      <w:r w:rsidR="00A35BA7">
        <w:t xml:space="preserve"> models including an interaction with the </w:t>
      </w:r>
      <w:r w:rsidR="00A35BA7" w:rsidRPr="003C3DBA">
        <w:rPr>
          <w:i/>
        </w:rPr>
        <w:t>Year</w:t>
      </w:r>
      <w:r w:rsidR="00915C3A" w:rsidRPr="003C3DBA">
        <w:rPr>
          <w:i/>
        </w:rPr>
        <w:t>*Area</w:t>
      </w:r>
      <w:r w:rsidR="00A35BA7">
        <w:t xml:space="preserve"> </w:t>
      </w:r>
      <w:r w:rsidR="00915C3A">
        <w:t xml:space="preserve">interaction </w:t>
      </w:r>
      <w:r w:rsidR="00A35BA7">
        <w:t xml:space="preserve">effect </w:t>
      </w:r>
      <w:r w:rsidR="000130A9">
        <w:t xml:space="preserve">were fitted </w:t>
      </w:r>
      <w:r w:rsidR="007041E8">
        <w:t>as there w</w:t>
      </w:r>
      <w:r w:rsidR="00915C3A">
        <w:t>ere a</w:t>
      </w:r>
      <w:r w:rsidR="00A35BA7">
        <w:t xml:space="preserve"> </w:t>
      </w:r>
      <w:r w:rsidR="00915C3A">
        <w:t xml:space="preserve">number of </w:t>
      </w:r>
      <w:r w:rsidR="00915C3A" w:rsidRPr="003C3DBA">
        <w:rPr>
          <w:i/>
        </w:rPr>
        <w:t>Year*Area</w:t>
      </w:r>
      <w:r w:rsidR="00915C3A">
        <w:t xml:space="preserve"> strata having no data records</w:t>
      </w:r>
      <w:r w:rsidR="00D3387E">
        <w:t xml:space="preserve"> </w:t>
      </w:r>
      <w:r w:rsidR="006C6940">
        <w:t xml:space="preserve">(c.f. </w:t>
      </w:r>
      <w:r w:rsidR="007041E8">
        <w:t>Appendix B</w:t>
      </w:r>
      <w:r w:rsidR="006C6940">
        <w:t>)</w:t>
      </w:r>
      <w:r w:rsidR="000130A9">
        <w:t xml:space="preserve"> and c</w:t>
      </w:r>
      <w:r w:rsidR="00D3387E">
        <w:t xml:space="preserve">onstruction of an abundance index from a model including a </w:t>
      </w:r>
      <w:r w:rsidR="00D3387E" w:rsidRPr="003C3DBA">
        <w:rPr>
          <w:i/>
        </w:rPr>
        <w:t>Year*Area</w:t>
      </w:r>
      <w:r w:rsidR="00D3387E">
        <w:t xml:space="preserve"> interaction would entail </w:t>
      </w:r>
      <w:r w:rsidR="00E023EA">
        <w:t xml:space="preserve">the </w:t>
      </w:r>
      <w:r w:rsidR="00D3387E">
        <w:t>need to impute catch rates for those strata for which the number of records is zero or small (and, hence, maybe unrepresentative)</w:t>
      </w:r>
      <w:r w:rsidR="00A35BA7">
        <w:t xml:space="preserve">. </w:t>
      </w:r>
      <w:r w:rsidR="007041E8">
        <w:t xml:space="preserve">While there was only one </w:t>
      </w:r>
      <w:r w:rsidR="007041E8" w:rsidRPr="003C3DBA">
        <w:rPr>
          <w:i/>
        </w:rPr>
        <w:t>Year*Quarter</w:t>
      </w:r>
      <w:r w:rsidR="007041E8">
        <w:t xml:space="preserve"> strata having no data records (c.f. Appendix B), unlike previous years no models including an interaction with the </w:t>
      </w:r>
      <w:r w:rsidR="007041E8" w:rsidRPr="003C3DBA">
        <w:rPr>
          <w:i/>
        </w:rPr>
        <w:t>Year*Quarter</w:t>
      </w:r>
      <w:r w:rsidR="007041E8">
        <w:t xml:space="preserve"> interaction effect were fitted due to the </w:t>
      </w:r>
      <w:r w:rsidR="003C3DBA">
        <w:t xml:space="preserve">need to know the spatial extent occupied by lobsters within each TIB fishing region (required to construct the abundance index – see Campbell 2016c) and the related </w:t>
      </w:r>
      <w:r w:rsidR="007041E8">
        <w:t xml:space="preserve">uncertainty noted </w:t>
      </w:r>
      <w:r w:rsidR="003C3DBA">
        <w:t>in previous reports</w:t>
      </w:r>
      <w:r w:rsidR="007041E8">
        <w:t xml:space="preserve"> about the spatial size of each GLM-area. </w:t>
      </w:r>
    </w:p>
    <w:p w:rsidR="00D70460" w:rsidRDefault="00D70460" w:rsidP="008736D3">
      <w:pPr>
        <w:jc w:val="both"/>
      </w:pPr>
    </w:p>
    <w:p w:rsidR="00D70460" w:rsidRDefault="00D70460" w:rsidP="008736D3">
      <w:pPr>
        <w:jc w:val="both"/>
      </w:pPr>
      <w:r>
        <w:t xml:space="preserve">As a sensitivity analysis several alternative model runs were conducted. First, the Seller-Name was fitted as an additional effect to the above two models. To ensure that there was sufficient data for parameter estimation of each </w:t>
      </w:r>
      <w:r w:rsidRPr="00F66D8B">
        <w:rPr>
          <w:i/>
        </w:rPr>
        <w:t>Seller</w:t>
      </w:r>
      <w:r w:rsidR="00F66D8B">
        <w:t xml:space="preserve"> effect only those s</w:t>
      </w:r>
      <w:r>
        <w:t xml:space="preserve">ellers which had fished for three or more years and for which there were 30 or more data records where included in the analyses. Second, </w:t>
      </w:r>
      <w:r w:rsidR="00114C17">
        <w:t xml:space="preserve">as seen from Table B(i) in Appendix B the data coverage for many of the GLM-areas has been poor since 2012 with only four areas (GLM-areas 7, 8, 9 and 12) having a reasonable data coverage in recent years. As this poor data coverage will influence our ability to estimate representative </w:t>
      </w:r>
      <w:r w:rsidR="00114C17" w:rsidRPr="00F66D8B">
        <w:rPr>
          <w:i/>
        </w:rPr>
        <w:t>Area</w:t>
      </w:r>
      <w:r w:rsidR="00114C17">
        <w:t xml:space="preserve"> effects for many areas, the analysis was repeated where the above models were fitted only to the data for GLM-areas 7 (Mabuiag), 8 (Badu), 9 (Thursday Island) and 12 (Warraber). A summary of the number of records fitted to each model is shown in Table 7.</w:t>
      </w:r>
    </w:p>
    <w:p w:rsidR="00C87BEF" w:rsidRDefault="00D3387E" w:rsidP="00387657">
      <w:r>
        <w:lastRenderedPageBreak/>
        <w:t xml:space="preserve">Table 7. </w:t>
      </w:r>
      <w:r w:rsidR="005066BC">
        <w:t>Summary of</w:t>
      </w:r>
      <w:r w:rsidR="00101D7E">
        <w:t xml:space="preserve"> </w:t>
      </w:r>
      <w:r w:rsidR="00696CD4">
        <w:t>model</w:t>
      </w:r>
      <w:r w:rsidR="005066BC">
        <w:t>s</w:t>
      </w:r>
      <w:r w:rsidR="00696CD4">
        <w:t xml:space="preserve"> fitted to the TIB data</w:t>
      </w:r>
      <w:r w:rsidR="00101D7E">
        <w:t>.</w:t>
      </w:r>
    </w:p>
    <w:p w:rsidR="00C87BEF" w:rsidRPr="00D3387E" w:rsidRDefault="005975B7" w:rsidP="002765DC">
      <w:pPr>
        <w:spacing w:after="120"/>
        <w:jc w:val="center"/>
      </w:pPr>
      <w:r w:rsidRPr="005975B7">
        <w:rPr>
          <w:noProof/>
        </w:rPr>
        <w:drawing>
          <wp:inline distT="0" distB="0" distL="0" distR="0">
            <wp:extent cx="4657725" cy="308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3086100"/>
                    </a:xfrm>
                    <a:prstGeom prst="rect">
                      <a:avLst/>
                    </a:prstGeom>
                    <a:noFill/>
                    <a:ln>
                      <a:noFill/>
                    </a:ln>
                  </pic:spPr>
                </pic:pic>
              </a:graphicData>
            </a:graphic>
          </wp:inline>
        </w:drawing>
      </w:r>
    </w:p>
    <w:p w:rsidR="00B31AAE" w:rsidRDefault="00B31AAE">
      <w:pPr>
        <w:rPr>
          <w:b/>
        </w:rPr>
      </w:pPr>
    </w:p>
    <w:p w:rsidR="00D97FB7" w:rsidRPr="00B0652C" w:rsidRDefault="00803F4F">
      <w:pPr>
        <w:rPr>
          <w:b/>
        </w:rPr>
      </w:pPr>
      <w:r>
        <w:rPr>
          <w:b/>
        </w:rPr>
        <w:t>5</w:t>
      </w:r>
      <w:r w:rsidR="00D97FB7" w:rsidRPr="00B0652C">
        <w:rPr>
          <w:b/>
        </w:rPr>
        <w:t xml:space="preserve">. </w:t>
      </w:r>
      <w:r w:rsidR="008A0A1D">
        <w:rPr>
          <w:b/>
        </w:rPr>
        <w:t>Results and Abundance Indices</w:t>
      </w:r>
    </w:p>
    <w:p w:rsidR="00D97FB7" w:rsidRDefault="00D97FB7"/>
    <w:p w:rsidR="00387657" w:rsidRPr="00DC1528" w:rsidRDefault="00387657" w:rsidP="00387657">
      <w:pPr>
        <w:spacing w:after="120"/>
        <w:jc w:val="both"/>
        <w:rPr>
          <w:i/>
        </w:rPr>
      </w:pPr>
      <w:r w:rsidRPr="00DC1528">
        <w:rPr>
          <w:i/>
        </w:rPr>
        <w:t xml:space="preserve">(a) </w:t>
      </w:r>
      <w:r>
        <w:rPr>
          <w:i/>
        </w:rPr>
        <w:t>Standardising</w:t>
      </w:r>
      <w:r w:rsidRPr="00DC1528">
        <w:rPr>
          <w:i/>
        </w:rPr>
        <w:t xml:space="preserve"> Effects</w:t>
      </w:r>
    </w:p>
    <w:p w:rsidR="00FA06F5" w:rsidRDefault="00827B04" w:rsidP="00382FE0">
      <w:pPr>
        <w:jc w:val="both"/>
      </w:pPr>
      <w:r>
        <w:t>S</w:t>
      </w:r>
      <w:r w:rsidRPr="00400C38">
        <w:t>tati</w:t>
      </w:r>
      <w:r>
        <w:t xml:space="preserve">stics for the Type 3 contrasts </w:t>
      </w:r>
      <w:r w:rsidRPr="00400C38">
        <w:t xml:space="preserve">computed for each </w:t>
      </w:r>
      <w:r>
        <w:t xml:space="preserve">fitted </w:t>
      </w:r>
      <w:r w:rsidRPr="00400C38">
        <w:t>effect</w:t>
      </w:r>
      <w:r>
        <w:t xml:space="preserve"> indicated that each effect was highly significant. </w:t>
      </w:r>
      <w:r w:rsidR="00382FE0">
        <w:t xml:space="preserve">A comparison of relative influence of each level of the </w:t>
      </w:r>
      <w:r w:rsidR="00382FE0" w:rsidRPr="00D33E92">
        <w:rPr>
          <w:i/>
        </w:rPr>
        <w:t>Quarter</w:t>
      </w:r>
      <w:r w:rsidR="00382FE0">
        <w:t xml:space="preserve">, </w:t>
      </w:r>
      <w:r w:rsidR="00382FE0" w:rsidRPr="00D33E92">
        <w:rPr>
          <w:i/>
        </w:rPr>
        <w:t>Area</w:t>
      </w:r>
      <w:r w:rsidR="00382FE0">
        <w:t xml:space="preserve">, </w:t>
      </w:r>
      <w:proofErr w:type="gramStart"/>
      <w:r w:rsidR="00382FE0" w:rsidRPr="00D33E92">
        <w:rPr>
          <w:i/>
        </w:rPr>
        <w:t>Method</w:t>
      </w:r>
      <w:proofErr w:type="gramEnd"/>
      <w:r w:rsidR="00382FE0">
        <w:t xml:space="preserve"> and </w:t>
      </w:r>
      <w:r w:rsidR="00D33E92" w:rsidRPr="00D33E92">
        <w:rPr>
          <w:i/>
        </w:rPr>
        <w:t>Proportion-Tails</w:t>
      </w:r>
      <w:r w:rsidR="00D33E92">
        <w:t xml:space="preserve"> </w:t>
      </w:r>
      <w:r w:rsidR="00382FE0">
        <w:t xml:space="preserve">effects for </w:t>
      </w:r>
      <w:r w:rsidR="00D33E92">
        <w:t>each GLM</w:t>
      </w:r>
      <w:r w:rsidR="00382FE0">
        <w:t xml:space="preserve"> model is shown in Figure 4. For each effect the values have been scaled so that the influence of each effect is relative to that of the last level of each effect (i.e, Qtr=1, Area=T.I., Method= Hookah and %-Tail &gt;80%). For those models which included the </w:t>
      </w:r>
      <w:r w:rsidR="00F66D8B">
        <w:rPr>
          <w:i/>
        </w:rPr>
        <w:t>Quarter</w:t>
      </w:r>
      <w:r w:rsidR="00382FE0" w:rsidRPr="00D33E92">
        <w:rPr>
          <w:i/>
        </w:rPr>
        <w:t>*Area</w:t>
      </w:r>
      <w:r w:rsidR="00382FE0">
        <w:t xml:space="preserve"> interaction the </w:t>
      </w:r>
      <w:r w:rsidR="00382FE0" w:rsidRPr="00D33E92">
        <w:rPr>
          <w:i/>
        </w:rPr>
        <w:t>Quarter</w:t>
      </w:r>
      <w:r w:rsidR="00382FE0">
        <w:t xml:space="preserve"> and </w:t>
      </w:r>
      <w:r w:rsidR="00382FE0" w:rsidRPr="00D33E92">
        <w:rPr>
          <w:i/>
        </w:rPr>
        <w:t>Area</w:t>
      </w:r>
      <w:r w:rsidR="00382FE0">
        <w:t xml:space="preserve"> effects were determined by calculating the mean effect across all areas and quarters respectively. </w:t>
      </w:r>
    </w:p>
    <w:p w:rsidR="00FA06F5" w:rsidRDefault="00FA06F5" w:rsidP="00382FE0">
      <w:pPr>
        <w:jc w:val="both"/>
      </w:pPr>
    </w:p>
    <w:p w:rsidR="005A7FC9" w:rsidRDefault="00AE2FFF" w:rsidP="00B12AEB">
      <w:pPr>
        <w:jc w:val="both"/>
      </w:pPr>
      <w:r>
        <w:t xml:space="preserve">Relative </w:t>
      </w:r>
      <w:r w:rsidR="00382FE0">
        <w:t xml:space="preserve">CPUE is </w:t>
      </w:r>
      <w:r w:rsidR="00B12AEB">
        <w:t>relatively constant across the four quarters of the year, though taking the ave</w:t>
      </w:r>
      <w:r w:rsidR="00DA43B2">
        <w:t>r</w:t>
      </w:r>
      <w:r w:rsidR="00B12AEB">
        <w:t xml:space="preserve">age effect across the </w:t>
      </w:r>
      <w:r w:rsidR="00DA43B2">
        <w:t>individual results for the eight</w:t>
      </w:r>
      <w:r w:rsidR="00B12AEB">
        <w:t xml:space="preserve"> models</w:t>
      </w:r>
      <w:r w:rsidR="00DA43B2">
        <w:t xml:space="preserve"> for each quarter</w:t>
      </w:r>
      <w:r w:rsidR="00B12AEB">
        <w:t xml:space="preserve"> indicates that CPUE is </w:t>
      </w:r>
      <w:r w:rsidR="00382FE0">
        <w:t xml:space="preserve">highest during the </w:t>
      </w:r>
      <w:r w:rsidR="00DA43B2">
        <w:t>fourth</w:t>
      </w:r>
      <w:r w:rsidR="00382FE0">
        <w:t xml:space="preserve"> quarter and </w:t>
      </w:r>
      <w:r w:rsidR="00DA43B2">
        <w:t>lowest</w:t>
      </w:r>
      <w:r w:rsidR="00B12AEB">
        <w:t xml:space="preserve"> in the third quarter</w:t>
      </w:r>
      <w:r w:rsidR="00DA43B2">
        <w:t xml:space="preserve">. However, the result for the third quarter is influenced by the variation shown between the results with and without the </w:t>
      </w:r>
      <w:r w:rsidR="00DA43B2" w:rsidRPr="00D33E92">
        <w:rPr>
          <w:i/>
        </w:rPr>
        <w:t>Seller</w:t>
      </w:r>
      <w:r w:rsidR="00DA43B2">
        <w:t xml:space="preserve"> effect included. For models with the </w:t>
      </w:r>
      <w:r w:rsidR="00DA43B2" w:rsidRPr="00D33E92">
        <w:rPr>
          <w:i/>
        </w:rPr>
        <w:t>Seller</w:t>
      </w:r>
      <w:r w:rsidR="00DA43B2">
        <w:t xml:space="preserve">-effect included the first and second quarters have similar relative CPUE with the CPUE for the third and fourth quarters being around 10% lower. </w:t>
      </w:r>
    </w:p>
    <w:p w:rsidR="005A7FC9" w:rsidRDefault="005A7FC9" w:rsidP="00B12AEB">
      <w:pPr>
        <w:jc w:val="both"/>
      </w:pPr>
    </w:p>
    <w:p w:rsidR="00E34F22" w:rsidRDefault="00E34F22" w:rsidP="00B12AEB">
      <w:pPr>
        <w:jc w:val="both"/>
      </w:pPr>
      <w:r>
        <w:t>Relative CPUE varies considerably between the va</w:t>
      </w:r>
      <w:r w:rsidR="00870A27">
        <w:t xml:space="preserve">rious areas included in the GLM. For the </w:t>
      </w:r>
      <w:r w:rsidR="008E587B">
        <w:t xml:space="preserve">two </w:t>
      </w:r>
      <w:r w:rsidR="00870A27">
        <w:t>models with include all 12 GLM-areas</w:t>
      </w:r>
      <w:r w:rsidR="008E587B">
        <w:t xml:space="preserve"> and the </w:t>
      </w:r>
      <w:r w:rsidR="008E587B" w:rsidRPr="00D33E92">
        <w:rPr>
          <w:i/>
        </w:rPr>
        <w:t>Seller</w:t>
      </w:r>
      <w:r w:rsidR="008E587B">
        <w:t>-effect</w:t>
      </w:r>
      <w:r w:rsidR="00870A27">
        <w:t>, the relative CPUE’</w:t>
      </w:r>
      <w:r w:rsidR="008E587B">
        <w:t>s v</w:t>
      </w:r>
      <w:r w:rsidR="00D33E92">
        <w:t>ary between 146%</w:t>
      </w:r>
      <w:r w:rsidR="008E587B">
        <w:t xml:space="preserve"> (for Mt A</w:t>
      </w:r>
      <w:r w:rsidR="00870A27">
        <w:t>do</w:t>
      </w:r>
      <w:r w:rsidR="008E587B">
        <w:t>l</w:t>
      </w:r>
      <w:r w:rsidR="00870A27">
        <w:t>phus) to</w:t>
      </w:r>
      <w:r w:rsidR="00D33E92">
        <w:t xml:space="preserve"> 1</w:t>
      </w:r>
      <w:r w:rsidR="008E587B">
        <w:t>00</w:t>
      </w:r>
      <w:r w:rsidR="00D33E92">
        <w:t>%</w:t>
      </w:r>
      <w:r w:rsidR="008E587B">
        <w:t xml:space="preserve"> (for Thursday Island)</w:t>
      </w:r>
      <w:r w:rsidR="00D33E92">
        <w:t xml:space="preserve"> while for the</w:t>
      </w:r>
      <w:r w:rsidR="00FD53E9" w:rsidRPr="00FD53E9">
        <w:t xml:space="preserve"> </w:t>
      </w:r>
      <w:r w:rsidR="00FD53E9">
        <w:t xml:space="preserve">two models with include only the four selected GLM-areas and the </w:t>
      </w:r>
      <w:r w:rsidR="00FD53E9" w:rsidRPr="00D33E92">
        <w:rPr>
          <w:i/>
        </w:rPr>
        <w:t>Seller</w:t>
      </w:r>
      <w:r w:rsidR="00FD53E9">
        <w:t>-effect, the rel</w:t>
      </w:r>
      <w:r w:rsidR="00D33E92">
        <w:t xml:space="preserve">ative CPUE’s varies between 131% (for Mabuiag) to </w:t>
      </w:r>
      <w:r w:rsidR="00FD53E9">
        <w:t>97</w:t>
      </w:r>
      <w:r w:rsidR="00D33E92">
        <w:t>%</w:t>
      </w:r>
      <w:r w:rsidR="00FD53E9">
        <w:t xml:space="preserve"> (for </w:t>
      </w:r>
      <w:proofErr w:type="spellStart"/>
      <w:r w:rsidR="00FD53E9">
        <w:t>Warraber</w:t>
      </w:r>
      <w:proofErr w:type="spellEnd"/>
      <w:r w:rsidR="00FD53E9">
        <w:t>)</w:t>
      </w:r>
      <w:r w:rsidR="00BD4509">
        <w:t>.</w:t>
      </w:r>
    </w:p>
    <w:p w:rsidR="00E34F22" w:rsidRDefault="00E34F22" w:rsidP="00B12AEB">
      <w:pPr>
        <w:jc w:val="both"/>
      </w:pPr>
    </w:p>
    <w:p w:rsidR="00BE34E4" w:rsidRDefault="00E34F22" w:rsidP="00D561C4">
      <w:pPr>
        <w:jc w:val="both"/>
      </w:pPr>
      <w:r>
        <w:t>Apart from</w:t>
      </w:r>
      <w:r w:rsidR="00F66D8B">
        <w:t xml:space="preserve"> the four area only models for m</w:t>
      </w:r>
      <w:r>
        <w:t xml:space="preserve">ixed fishing, the relative CPUE across all models is similar for each fishing method. </w:t>
      </w:r>
      <w:r w:rsidR="003F01E4">
        <w:t>Across all models</w:t>
      </w:r>
      <w:r>
        <w:t>, t</w:t>
      </w:r>
      <w:r w:rsidR="00A440C6">
        <w:t>he CPUE for hookah</w:t>
      </w:r>
      <w:r>
        <w:t xml:space="preserve"> fishing is found to be around 23</w:t>
      </w:r>
      <w:r w:rsidR="00A440C6">
        <w:t xml:space="preserve">% higher than for free diving </w:t>
      </w:r>
      <w:r w:rsidR="003F01E4">
        <w:t>and 12% higher than for</w:t>
      </w:r>
      <w:r w:rsidR="00F66D8B">
        <w:t xml:space="preserve"> m</w:t>
      </w:r>
      <w:r w:rsidR="00A440C6">
        <w:t>ixed fishing</w:t>
      </w:r>
      <w:r w:rsidR="003F01E4">
        <w:t>. This latt</w:t>
      </w:r>
      <w:r w:rsidR="00F66D8B">
        <w:t>er result is to be expected if m</w:t>
      </w:r>
      <w:r w:rsidR="003F01E4">
        <w:t xml:space="preserve">ixed fishing is a combination of the two other fishing methods. </w:t>
      </w:r>
    </w:p>
    <w:p w:rsidR="00382FE0" w:rsidRDefault="00382FE0" w:rsidP="00382FE0">
      <w:pPr>
        <w:spacing w:after="120"/>
        <w:jc w:val="both"/>
      </w:pPr>
      <w:r>
        <w:lastRenderedPageBreak/>
        <w:t>Figure 4. Comparison of relative influence of each level of the Quarter, Area, Method and Percent-Tails effects for each fitted model. Results are shown for both model runs. Note, for each effect the values have been scaled so that the influence of each effect is relative to that of the last level of each effect (i.e, Qtr=1, Area=T.I.,</w:t>
      </w:r>
      <w:r w:rsidR="003F4516">
        <w:t xml:space="preserve"> M</w:t>
      </w:r>
      <w:r>
        <w:t>ethod= Hookah an</w:t>
      </w:r>
      <w:r w:rsidR="003F4516">
        <w:t>d %-Tails= ‘</w:t>
      </w:r>
      <w:r>
        <w:t>&gt;80%</w:t>
      </w:r>
      <w:r w:rsidR="003F4516">
        <w:t>’</w:t>
      </w:r>
      <w:r>
        <w:t>).</w:t>
      </w:r>
    </w:p>
    <w:p w:rsidR="00382FE0" w:rsidRDefault="00FA06F5" w:rsidP="00382FE0">
      <w:pPr>
        <w:jc w:val="center"/>
      </w:pPr>
      <w:r w:rsidRPr="00FA06F5">
        <w:rPr>
          <w:noProof/>
        </w:rPr>
        <w:drawing>
          <wp:inline distT="0" distB="0" distL="0" distR="0">
            <wp:extent cx="5730370" cy="78676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9234" cy="7879820"/>
                    </a:xfrm>
                    <a:prstGeom prst="rect">
                      <a:avLst/>
                    </a:prstGeom>
                    <a:noFill/>
                    <a:ln>
                      <a:noFill/>
                    </a:ln>
                  </pic:spPr>
                </pic:pic>
              </a:graphicData>
            </a:graphic>
          </wp:inline>
        </w:drawing>
      </w:r>
    </w:p>
    <w:p w:rsidR="00A440C6" w:rsidRDefault="00A440C6" w:rsidP="00A440C6">
      <w:pPr>
        <w:jc w:val="both"/>
      </w:pPr>
    </w:p>
    <w:p w:rsidR="00A440C6" w:rsidRDefault="00A440C6" w:rsidP="00A440C6">
      <w:pPr>
        <w:spacing w:after="120"/>
        <w:jc w:val="both"/>
      </w:pPr>
      <w:r>
        <w:lastRenderedPageBreak/>
        <w:t xml:space="preserve">Table </w:t>
      </w:r>
      <w:r w:rsidR="00636EFB">
        <w:t>8. Relative abundance indices based on standardised CPUE data for the TIB fishery. Note, each index is scaled so that the mean of the index over the all years is equal to 1.</w:t>
      </w:r>
    </w:p>
    <w:p w:rsidR="00A440C6" w:rsidRDefault="00A440C6" w:rsidP="00A440C6">
      <w:pPr>
        <w:jc w:val="both"/>
      </w:pPr>
      <w:r w:rsidRPr="008550B0">
        <w:rPr>
          <w:noProof/>
        </w:rPr>
        <w:drawing>
          <wp:inline distT="0" distB="0" distL="0" distR="0" wp14:anchorId="35BB9F73" wp14:editId="79E0D252">
            <wp:extent cx="5730875" cy="19812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9125" cy="1984052"/>
                    </a:xfrm>
                    <a:prstGeom prst="rect">
                      <a:avLst/>
                    </a:prstGeom>
                    <a:noFill/>
                    <a:ln>
                      <a:noFill/>
                    </a:ln>
                  </pic:spPr>
                </pic:pic>
              </a:graphicData>
            </a:graphic>
          </wp:inline>
        </w:drawing>
      </w:r>
    </w:p>
    <w:p w:rsidR="00A440C6" w:rsidRDefault="00A440C6" w:rsidP="00A440C6">
      <w:pPr>
        <w:jc w:val="both"/>
      </w:pPr>
    </w:p>
    <w:p w:rsidR="00BE34E4" w:rsidRDefault="00BE34E4" w:rsidP="004A5EEB">
      <w:pPr>
        <w:spacing w:after="120"/>
        <w:jc w:val="both"/>
      </w:pPr>
      <w:r>
        <w:t xml:space="preserve">Figure </w:t>
      </w:r>
      <w:r w:rsidR="00F92C44">
        <w:t>5</w:t>
      </w:r>
      <w:r w:rsidR="004A5EEB">
        <w:t xml:space="preserve">. Relative indices of resource availability </w:t>
      </w:r>
      <w:r w:rsidR="00F017C6">
        <w:t xml:space="preserve">based on each the models fitted to the catch and effort data </w:t>
      </w:r>
      <w:r w:rsidR="004A5EEB">
        <w:t>for the TIB fishery.</w:t>
      </w:r>
    </w:p>
    <w:p w:rsidR="00BE34E4" w:rsidRDefault="00C47019" w:rsidP="00CA06B1">
      <w:pPr>
        <w:jc w:val="both"/>
      </w:pPr>
      <w:r w:rsidRPr="00C47019">
        <w:rPr>
          <w:noProof/>
        </w:rPr>
        <w:drawing>
          <wp:inline distT="0" distB="0" distL="0" distR="0">
            <wp:extent cx="5730516" cy="33909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42" cy="3392631"/>
                    </a:xfrm>
                    <a:prstGeom prst="rect">
                      <a:avLst/>
                    </a:prstGeom>
                    <a:noFill/>
                    <a:ln>
                      <a:noFill/>
                    </a:ln>
                  </pic:spPr>
                </pic:pic>
              </a:graphicData>
            </a:graphic>
          </wp:inline>
        </w:drawing>
      </w:r>
    </w:p>
    <w:p w:rsidR="00D10ACE" w:rsidRDefault="00D10ACE" w:rsidP="00CA06B1">
      <w:pPr>
        <w:jc w:val="both"/>
      </w:pPr>
    </w:p>
    <w:p w:rsidR="00F017C6" w:rsidRDefault="00F92C44" w:rsidP="00F017C6">
      <w:pPr>
        <w:spacing w:after="120"/>
        <w:jc w:val="both"/>
      </w:pPr>
      <w:r>
        <w:t>Figure 6</w:t>
      </w:r>
      <w:r w:rsidR="00F017C6">
        <w:t>. Comparison of the relative indices of resource availability based on (a) Main-Effects only and the (b) Main Effects + Quarter*Area interaction models fitted to the catch and effort data for the TIB fishery</w:t>
      </w:r>
    </w:p>
    <w:p w:rsidR="000B76A6" w:rsidRDefault="00F7753D" w:rsidP="00206455">
      <w:pPr>
        <w:jc w:val="both"/>
      </w:pPr>
      <w:r w:rsidRPr="00F7753D">
        <w:rPr>
          <w:noProof/>
        </w:rPr>
        <w:drawing>
          <wp:inline distT="0" distB="0" distL="0" distR="0">
            <wp:extent cx="5730974" cy="16573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500" cy="1657791"/>
                    </a:xfrm>
                    <a:prstGeom prst="rect">
                      <a:avLst/>
                    </a:prstGeom>
                    <a:noFill/>
                    <a:ln>
                      <a:noFill/>
                    </a:ln>
                  </pic:spPr>
                </pic:pic>
              </a:graphicData>
            </a:graphic>
          </wp:inline>
        </w:drawing>
      </w:r>
      <w:r w:rsidR="000B76A6">
        <w:br w:type="page"/>
      </w:r>
    </w:p>
    <w:p w:rsidR="001A70A9" w:rsidRDefault="001A70A9" w:rsidP="001A70A9">
      <w:pPr>
        <w:jc w:val="both"/>
      </w:pPr>
      <w:r>
        <w:lastRenderedPageBreak/>
        <w:t xml:space="preserve">Finally, the relative CPUE across all models is similar for each category of the </w:t>
      </w:r>
      <w:r w:rsidR="00D33E92">
        <w:t>proportion</w:t>
      </w:r>
      <w:r>
        <w:t xml:space="preserve"> of the catch which is tails with the relative CPUE increasing as the </w:t>
      </w:r>
      <w:r w:rsidR="00AA21BD" w:rsidRPr="00AA21BD">
        <w:rPr>
          <w:i/>
        </w:rPr>
        <w:t>Proportion-T</w:t>
      </w:r>
      <w:r w:rsidRPr="00AA21BD">
        <w:rPr>
          <w:i/>
        </w:rPr>
        <w:t>ails</w:t>
      </w:r>
      <w:r>
        <w:t xml:space="preserve"> increases in the catch. Across all models, the relative CPUE within each %-tails category is 0.62, 0.85, 0.88, 0.94 and 1.00 respectively.</w:t>
      </w:r>
    </w:p>
    <w:p w:rsidR="001A70A9" w:rsidRDefault="001A70A9" w:rsidP="001A70A9">
      <w:pPr>
        <w:jc w:val="both"/>
      </w:pPr>
    </w:p>
    <w:p w:rsidR="00387657" w:rsidRPr="00100FE2" w:rsidRDefault="00387657" w:rsidP="00387657">
      <w:pPr>
        <w:spacing w:after="120"/>
        <w:jc w:val="both"/>
        <w:rPr>
          <w:i/>
        </w:rPr>
      </w:pPr>
      <w:r w:rsidRPr="00100FE2">
        <w:rPr>
          <w:i/>
        </w:rPr>
        <w:t>(b) Annual Abundance Indices</w:t>
      </w:r>
    </w:p>
    <w:p w:rsidR="00CB08C0" w:rsidRDefault="009D4598" w:rsidP="001A2843">
      <w:pPr>
        <w:jc w:val="both"/>
      </w:pPr>
      <w:r>
        <w:t xml:space="preserve">The relative abundance indices based on each of the </w:t>
      </w:r>
      <w:r w:rsidR="00667696">
        <w:t>eight GLM</w:t>
      </w:r>
      <w:r>
        <w:t xml:space="preserve"> models listed in the previous section are displayed and listed in Figure</w:t>
      </w:r>
      <w:r w:rsidR="00203863">
        <w:t>s</w:t>
      </w:r>
      <w:r>
        <w:t xml:space="preserve"> </w:t>
      </w:r>
      <w:r w:rsidR="00203863">
        <w:t>5&amp;6</w:t>
      </w:r>
      <w:r>
        <w:t xml:space="preserve"> and Table 8 respectively. </w:t>
      </w:r>
      <w:r w:rsidR="0029225F">
        <w:t>Relative to the nominal index, each of the standardised indices displays a number of substantive shifts, being lower than the nominal index at the start of the time-series</w:t>
      </w:r>
      <w:r w:rsidR="00667696">
        <w:t xml:space="preserve"> and for 2011 and 2012</w:t>
      </w:r>
      <w:r w:rsidR="0029225F">
        <w:t xml:space="preserve"> and higher tha</w:t>
      </w:r>
      <w:r w:rsidR="00667696">
        <w:t>n the nominal index for 2009</w:t>
      </w:r>
      <w:r w:rsidR="0029225F">
        <w:t xml:space="preserve"> and 2010</w:t>
      </w:r>
      <w:r w:rsidR="00667696">
        <w:t xml:space="preserve"> and since 2014</w:t>
      </w:r>
      <w:r w:rsidR="001733D3">
        <w:t xml:space="preserve">. </w:t>
      </w:r>
      <w:r w:rsidR="00856508">
        <w:t xml:space="preserve">These changes are likely due to shifts in the percentage of the catch which are processed as tailed or whole lobsters (c.f. Figure 7). </w:t>
      </w:r>
      <w:r w:rsidR="00480087">
        <w:t xml:space="preserve">There are some small differences in the relative indices between the models with and without the </w:t>
      </w:r>
      <w:r w:rsidR="00480087" w:rsidRPr="00AA21BD">
        <w:rPr>
          <w:i/>
        </w:rPr>
        <w:t>Quarter*Area</w:t>
      </w:r>
      <w:r w:rsidR="00480087">
        <w:t xml:space="preserve"> interaction included (c.f. Figure 5a&amp;c) but these differences are negligible for the models which include the </w:t>
      </w:r>
      <w:r w:rsidR="00480087" w:rsidRPr="00AA21BD">
        <w:rPr>
          <w:i/>
        </w:rPr>
        <w:t>Seller</w:t>
      </w:r>
      <w:r w:rsidR="00480087">
        <w:t xml:space="preserve">-effect (c.f. Figure 5b&amp;b). </w:t>
      </w:r>
      <w:r w:rsidR="00CB08C0">
        <w:t xml:space="preserve">There are also some differences between the models which include all 12 GLM-areas and those which only include the four selected GLM-areas, with these differences being similar across the two sets of models with and without the </w:t>
      </w:r>
      <w:r w:rsidR="00CB08C0" w:rsidRPr="00AA21BD">
        <w:rPr>
          <w:i/>
        </w:rPr>
        <w:t>Quarter*Area</w:t>
      </w:r>
      <w:r w:rsidR="00CB08C0">
        <w:t xml:space="preserve"> interaction included (c.f. Figure 6).</w:t>
      </w:r>
    </w:p>
    <w:p w:rsidR="00CB08C0" w:rsidRDefault="00CB08C0" w:rsidP="001A2843">
      <w:pPr>
        <w:jc w:val="both"/>
      </w:pPr>
    </w:p>
    <w:p w:rsidR="001A2843" w:rsidRDefault="00C43B6A" w:rsidP="001A2843">
      <w:pPr>
        <w:jc w:val="both"/>
      </w:pPr>
      <w:r>
        <w:t xml:space="preserve">Using the Akaike Information Criteria (AIC) </w:t>
      </w:r>
      <w:r w:rsidR="00C33041">
        <w:t xml:space="preserve">as </w:t>
      </w:r>
      <w:r>
        <w:rPr>
          <w:rStyle w:val="tgc"/>
        </w:rPr>
        <w:t>a measure to select the relative quality of the different statistical models fitted to a given set of data (where a lower value is better)</w:t>
      </w:r>
      <w:r w:rsidR="00C33041">
        <w:rPr>
          <w:rStyle w:val="tgc"/>
        </w:rPr>
        <w:t>, then</w:t>
      </w:r>
      <w:r>
        <w:t xml:space="preserve"> </w:t>
      </w:r>
      <w:r w:rsidR="00426AC9">
        <w:t xml:space="preserve">based on the results shown in Table 7 </w:t>
      </w:r>
      <w:r>
        <w:t xml:space="preserve">the models with the </w:t>
      </w:r>
      <w:r w:rsidRPr="00AA21BD">
        <w:rPr>
          <w:i/>
        </w:rPr>
        <w:t>Quarter*Area</w:t>
      </w:r>
      <w:r>
        <w:t xml:space="preserve"> interaction included are found to provide a better fit to the data</w:t>
      </w:r>
      <w:r w:rsidR="00426AC9">
        <w:t xml:space="preserve"> for all the four sets of models</w:t>
      </w:r>
      <w:r>
        <w:t xml:space="preserve">. </w:t>
      </w:r>
      <w:r w:rsidR="00EA44F4">
        <w:t xml:space="preserve">Although not shown in Table 7, the AIC measure also indicates that between the two models with and without the </w:t>
      </w:r>
      <w:r w:rsidR="00EA44F4" w:rsidRPr="00AA21BD">
        <w:rPr>
          <w:i/>
        </w:rPr>
        <w:t>Seller</w:t>
      </w:r>
      <w:r w:rsidR="00EA44F4">
        <w:t xml:space="preserve">-effect included </w:t>
      </w:r>
      <w:r w:rsidR="00C33041">
        <w:t xml:space="preserve">and </w:t>
      </w:r>
      <w:r w:rsidR="00EA44F4">
        <w:t xml:space="preserve">fitted to the same set of data as Models 3 and 4 (i.e. 25,848 records) that the model including the </w:t>
      </w:r>
      <w:r w:rsidR="00EA44F4" w:rsidRPr="00AA21BD">
        <w:rPr>
          <w:i/>
        </w:rPr>
        <w:t>Seller</w:t>
      </w:r>
      <w:r w:rsidR="00EA44F4">
        <w:t xml:space="preserve">-effect </w:t>
      </w:r>
      <w:r w:rsidR="00C33041">
        <w:t>provides the</w:t>
      </w:r>
      <w:r w:rsidR="00EA44F4">
        <w:t xml:space="preserve"> better fit. </w:t>
      </w:r>
      <w:r w:rsidR="0067005E">
        <w:t xml:space="preserve">Based on these observations, Model 4 is therefore seen as the preferred model. </w:t>
      </w:r>
      <w:r w:rsidR="00C33041">
        <w:t>Of the two sets of models fitted to the data for all 12 GLM-areas or just the four selected GLM-areas it can be argued tha</w:t>
      </w:r>
      <w:r w:rsidR="00AA21BD">
        <w:t xml:space="preserve">t as the </w:t>
      </w:r>
      <w:r w:rsidR="00AA21BD" w:rsidRPr="00AA21BD">
        <w:rPr>
          <w:i/>
        </w:rPr>
        <w:t>A</w:t>
      </w:r>
      <w:r w:rsidR="00C33041" w:rsidRPr="00AA21BD">
        <w:rPr>
          <w:i/>
        </w:rPr>
        <w:t>rea</w:t>
      </w:r>
      <w:r w:rsidR="00C33041">
        <w:t xml:space="preserve">-effect are assumed to the same across all years, and despite the poor data coverage in some areas in more recent years, that the latter model only provides an index across the smaller region comprising the selected four areas while the former model should provide a better index across the entire fishery. </w:t>
      </w:r>
    </w:p>
    <w:p w:rsidR="00856508" w:rsidRDefault="00856508" w:rsidP="001A2843">
      <w:pPr>
        <w:jc w:val="both"/>
      </w:pPr>
    </w:p>
    <w:p w:rsidR="00856508" w:rsidRDefault="00856508" w:rsidP="00856508">
      <w:pPr>
        <w:spacing w:after="120"/>
        <w:jc w:val="both"/>
      </w:pPr>
      <w:r>
        <w:t>Figure 7.Percent of total annual catch (whole weight) by processed form.</w:t>
      </w:r>
    </w:p>
    <w:p w:rsidR="00856508" w:rsidRDefault="00856508" w:rsidP="00C33041">
      <w:pPr>
        <w:jc w:val="center"/>
      </w:pPr>
      <w:r w:rsidRPr="00856508">
        <w:rPr>
          <w:noProof/>
        </w:rPr>
        <w:drawing>
          <wp:inline distT="0" distB="0" distL="0" distR="0">
            <wp:extent cx="4581525" cy="2743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2359E0" w:rsidRPr="00913F8E" w:rsidRDefault="002359E0" w:rsidP="002359E0">
      <w:pPr>
        <w:rPr>
          <w:b/>
        </w:rPr>
      </w:pPr>
      <w:r>
        <w:rPr>
          <w:b/>
        </w:rPr>
        <w:lastRenderedPageBreak/>
        <w:t>5. Comparison with other indices</w:t>
      </w:r>
    </w:p>
    <w:p w:rsidR="002359E0" w:rsidRDefault="002359E0" w:rsidP="002359E0">
      <w:pPr>
        <w:jc w:val="both"/>
      </w:pPr>
    </w:p>
    <w:p w:rsidR="00301E4B" w:rsidRDefault="00554841" w:rsidP="00301E4B">
      <w:pPr>
        <w:jc w:val="both"/>
      </w:pPr>
      <w:r>
        <w:t xml:space="preserve">A comparison of </w:t>
      </w:r>
      <w:r w:rsidR="00046601">
        <w:t xml:space="preserve">the </w:t>
      </w:r>
      <w:r w:rsidR="008B7F4C">
        <w:t xml:space="preserve">two of the </w:t>
      </w:r>
      <w:r w:rsidR="007F3FC5">
        <w:t xml:space="preserve">preferred </w:t>
      </w:r>
      <w:r>
        <w:t xml:space="preserve">TIB abundance indices with </w:t>
      </w:r>
      <w:r w:rsidR="008547AC">
        <w:t>two of the</w:t>
      </w:r>
      <w:r>
        <w:t xml:space="preserve"> </w:t>
      </w:r>
      <w:r w:rsidR="007F3FC5">
        <w:t xml:space="preserve">preferred </w:t>
      </w:r>
      <w:r>
        <w:t xml:space="preserve">indices based on the standardised CPUE from the </w:t>
      </w:r>
      <w:r w:rsidR="00AA21BD">
        <w:t>TVH fishery is shown in Figure 8</w:t>
      </w:r>
      <w:r w:rsidR="00971EE9">
        <w:t xml:space="preserve"> while the Pearson correlation</w:t>
      </w:r>
      <w:r w:rsidR="003033FC">
        <w:t xml:space="preserve">, </w:t>
      </w:r>
      <w:r w:rsidR="003033FC">
        <w:rPr>
          <w:rFonts w:ascii="Calibri" w:hAnsi="Calibri"/>
        </w:rPr>
        <w:t>ρ</w:t>
      </w:r>
      <w:r w:rsidR="003033FC">
        <w:t>,</w:t>
      </w:r>
      <w:r w:rsidR="00971EE9">
        <w:t xml:space="preserve"> between each of t</w:t>
      </w:r>
      <w:r w:rsidR="008547AC">
        <w:t>hese indices is shown in Table 9</w:t>
      </w:r>
      <w:r>
        <w:t xml:space="preserve">. A number of </w:t>
      </w:r>
      <w:r w:rsidR="00301E4B">
        <w:t xml:space="preserve">differences are seen between each set of indices. In particular, the </w:t>
      </w:r>
      <w:r w:rsidR="007F3FC5">
        <w:t>two</w:t>
      </w:r>
      <w:r w:rsidR="00301E4B">
        <w:t xml:space="preserve"> standardised TIB indices each display a considerably flatter trend over time than the TVH </w:t>
      </w:r>
      <w:r w:rsidR="007F3FC5">
        <w:t>indices</w:t>
      </w:r>
      <w:r w:rsidR="00301E4B">
        <w:t>. Despite this, the peaks and troughs in each of the TIB and TVH indices generally coincide. For example, local maximum occur for the years 2005 and 2011 and local minim</w:t>
      </w:r>
      <w:r w:rsidR="007F3FC5">
        <w:t>um occur for 2006, 2009 and 2015</w:t>
      </w:r>
      <w:r w:rsidR="00301E4B">
        <w:t xml:space="preserve">. </w:t>
      </w:r>
      <w:r w:rsidR="003033FC">
        <w:t xml:space="preserve">This similarity is also reflected in the relatively high correlation </w:t>
      </w:r>
      <w:r w:rsidR="00B13456">
        <w:t>(</w:t>
      </w:r>
      <w:r w:rsidR="00B13456">
        <w:rPr>
          <w:rFonts w:ascii="Calibri" w:hAnsi="Calibri"/>
        </w:rPr>
        <w:t>ρ</w:t>
      </w:r>
      <w:r w:rsidR="00B13456">
        <w:t xml:space="preserve"> =0.86 and 0.82) </w:t>
      </w:r>
      <w:r w:rsidR="003033FC">
        <w:t xml:space="preserve">between </w:t>
      </w:r>
      <w:r w:rsidR="00B13456">
        <w:t xml:space="preserve">the </w:t>
      </w:r>
      <w:r w:rsidR="00C020E1">
        <w:t xml:space="preserve">preferred </w:t>
      </w:r>
      <w:r w:rsidR="003033FC">
        <w:t>TIB index (</w:t>
      </w:r>
      <w:r w:rsidR="003033FC" w:rsidRPr="00AA21BD">
        <w:rPr>
          <w:i/>
        </w:rPr>
        <w:t>seller</w:t>
      </w:r>
      <w:r w:rsidR="003033FC">
        <w:t>+</w:t>
      </w:r>
      <w:r w:rsidR="003033FC" w:rsidRPr="00AA21BD">
        <w:rPr>
          <w:i/>
        </w:rPr>
        <w:t>Q.A</w:t>
      </w:r>
      <w:r w:rsidR="003033FC">
        <w:t xml:space="preserve">) </w:t>
      </w:r>
      <w:r w:rsidR="00B13456">
        <w:t>and the two TVH indices</w:t>
      </w:r>
      <w:r w:rsidR="00C020E1">
        <w:t xml:space="preserve"> (Note, it is somewhat reassuring that the preferred TIB index has the highest correlation with the TVH indices)</w:t>
      </w:r>
      <w:r w:rsidR="00B13456">
        <w:t xml:space="preserve">. </w:t>
      </w:r>
      <w:r w:rsidR="00301E4B">
        <w:t>As both the TIB and TVH fisheries are fishing the same resource, this resu</w:t>
      </w:r>
      <w:r w:rsidR="004E6D12">
        <w:t>lt is not unexpected. T</w:t>
      </w:r>
      <w:r w:rsidR="00301E4B">
        <w:t xml:space="preserve">he </w:t>
      </w:r>
      <w:r w:rsidR="004E6D12">
        <w:t xml:space="preserve">reasons for the </w:t>
      </w:r>
      <w:r w:rsidR="00301E4B">
        <w:t xml:space="preserve">flatter trend in the TIB indices </w:t>
      </w:r>
      <w:r w:rsidR="004E6D12">
        <w:t xml:space="preserve">remain uncertain </w:t>
      </w:r>
      <w:r w:rsidR="00F66D8B">
        <w:t xml:space="preserve">and warrants further investigation </w:t>
      </w:r>
      <w:r w:rsidR="004E6D12">
        <w:t>but may be</w:t>
      </w:r>
      <w:r w:rsidR="00301E4B">
        <w:t xml:space="preserve"> due to the more limited data collected from this fishery, in particular the courser scale measure of effort collected from </w:t>
      </w:r>
      <w:r w:rsidR="004E6D12">
        <w:t>the TIB</w:t>
      </w:r>
      <w:r w:rsidR="00301E4B">
        <w:t xml:space="preserve"> fishery (day) in comparison to that collected in the TVH fishery (hours). There is also a problem with the decline in the amount of data available f</w:t>
      </w:r>
      <w:r w:rsidR="001224DD">
        <w:t>or analysis from the TIB fisher in more recent years, and its more limited spatial extent.</w:t>
      </w:r>
      <w:r w:rsidR="00301E4B">
        <w:t xml:space="preserve"> due to the fact that </w:t>
      </w:r>
      <w:r w:rsidR="00544731">
        <w:t>some</w:t>
      </w:r>
      <w:r w:rsidR="00301E4B">
        <w:t xml:space="preserve"> of the data fields in the docket-book were not completed</w:t>
      </w:r>
      <w:r w:rsidR="00544731">
        <w:t xml:space="preserve"> and that a large proportion </w:t>
      </w:r>
      <w:r w:rsidR="00670B26">
        <w:t xml:space="preserve">(&gt;40%) </w:t>
      </w:r>
      <w:r w:rsidR="00544731">
        <w:t>of the data is not being recorded on the docket-book</w:t>
      </w:r>
      <w:r w:rsidR="00301E4B">
        <w:t>.</w:t>
      </w:r>
    </w:p>
    <w:p w:rsidR="00554841" w:rsidRDefault="00554841" w:rsidP="00554841">
      <w:pPr>
        <w:jc w:val="both"/>
      </w:pPr>
    </w:p>
    <w:p w:rsidR="008E0BDD" w:rsidRDefault="008E0BDD" w:rsidP="008E0BDD">
      <w:pPr>
        <w:spacing w:after="120"/>
        <w:jc w:val="both"/>
      </w:pPr>
      <w:r>
        <w:t>Figure</w:t>
      </w:r>
      <w:r w:rsidR="008547AC">
        <w:t xml:space="preserve"> 8</w:t>
      </w:r>
      <w:r>
        <w:t>. Comparison of the selected TIB and TVH resource indices.</w:t>
      </w:r>
    </w:p>
    <w:p w:rsidR="008E0BDD" w:rsidRDefault="000F7C63" w:rsidP="008E0BDD">
      <w:pPr>
        <w:jc w:val="center"/>
      </w:pPr>
      <w:r w:rsidRPr="000F7C63">
        <w:rPr>
          <w:noProof/>
        </w:rPr>
        <w:drawing>
          <wp:inline distT="0" distB="0" distL="0" distR="0">
            <wp:extent cx="4448175" cy="26365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31" cy="2645925"/>
                    </a:xfrm>
                    <a:prstGeom prst="rect">
                      <a:avLst/>
                    </a:prstGeom>
                    <a:noFill/>
                    <a:ln>
                      <a:noFill/>
                    </a:ln>
                  </pic:spPr>
                </pic:pic>
              </a:graphicData>
            </a:graphic>
          </wp:inline>
        </w:drawing>
      </w:r>
    </w:p>
    <w:p w:rsidR="008E0BDD" w:rsidRDefault="008E0BDD" w:rsidP="00554841">
      <w:pPr>
        <w:jc w:val="both"/>
      </w:pPr>
    </w:p>
    <w:p w:rsidR="00604570" w:rsidRDefault="00604570" w:rsidP="00554841">
      <w:pPr>
        <w:jc w:val="both"/>
      </w:pPr>
    </w:p>
    <w:p w:rsidR="00AA6643" w:rsidRDefault="004D6DA7" w:rsidP="00AA6643">
      <w:pPr>
        <w:spacing w:after="120"/>
        <w:jc w:val="both"/>
      </w:pPr>
      <w:r>
        <w:t>Table 9</w:t>
      </w:r>
      <w:r w:rsidR="00AA6643">
        <w:t xml:space="preserve">. Pearson correlation between the various </w:t>
      </w:r>
      <w:r w:rsidR="00426794">
        <w:t xml:space="preserve">TIB and TVH-based </w:t>
      </w:r>
      <w:r w:rsidR="00AA6643">
        <w:t>indices.</w:t>
      </w:r>
    </w:p>
    <w:p w:rsidR="00AA6643" w:rsidRDefault="00365296" w:rsidP="00AA6643">
      <w:pPr>
        <w:jc w:val="center"/>
      </w:pPr>
      <w:r w:rsidRPr="00365296">
        <w:rPr>
          <w:noProof/>
        </w:rPr>
        <w:drawing>
          <wp:inline distT="0" distB="0" distL="0" distR="0">
            <wp:extent cx="4267200" cy="981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981075"/>
                    </a:xfrm>
                    <a:prstGeom prst="rect">
                      <a:avLst/>
                    </a:prstGeom>
                    <a:noFill/>
                    <a:ln>
                      <a:noFill/>
                    </a:ln>
                  </pic:spPr>
                </pic:pic>
              </a:graphicData>
            </a:graphic>
          </wp:inline>
        </w:drawing>
      </w:r>
    </w:p>
    <w:p w:rsidR="00F74D3A" w:rsidRDefault="00F74D3A"/>
    <w:p w:rsidR="00604570" w:rsidRDefault="00604570">
      <w:pPr>
        <w:spacing w:after="200" w:line="276" w:lineRule="auto"/>
      </w:pPr>
      <w:r>
        <w:br w:type="page"/>
      </w:r>
    </w:p>
    <w:p w:rsidR="00913F8E" w:rsidRPr="00913F8E" w:rsidRDefault="002359E0">
      <w:pPr>
        <w:rPr>
          <w:b/>
        </w:rPr>
      </w:pPr>
      <w:r>
        <w:rPr>
          <w:b/>
        </w:rPr>
        <w:lastRenderedPageBreak/>
        <w:t>6</w:t>
      </w:r>
      <w:r w:rsidR="002C1A1A">
        <w:rPr>
          <w:b/>
        </w:rPr>
        <w:t>.</w:t>
      </w:r>
      <w:r w:rsidR="00803F4F">
        <w:rPr>
          <w:b/>
        </w:rPr>
        <w:t xml:space="preserve"> </w:t>
      </w:r>
      <w:r w:rsidR="00522658" w:rsidRPr="00F77245">
        <w:rPr>
          <w:b/>
        </w:rPr>
        <w:t>Concluding Remarks</w:t>
      </w:r>
    </w:p>
    <w:p w:rsidR="00365644" w:rsidRDefault="00365644" w:rsidP="00365644">
      <w:pPr>
        <w:jc w:val="both"/>
      </w:pPr>
    </w:p>
    <w:p w:rsidR="00BF3961" w:rsidRDefault="00365644" w:rsidP="00BF3961">
      <w:pPr>
        <w:jc w:val="both"/>
      </w:pPr>
      <w:r>
        <w:t xml:space="preserve">For the Torres Strait rock lobster fishery there are currently two sources of catch and effort data, those for the TVH and TIB sectors. The logbook data from the TVH sector is believed to provide a relatively complete and good source of catch and effort data for this sector, </w:t>
      </w:r>
      <w:r w:rsidR="004A37A8">
        <w:t xml:space="preserve">and until now </w:t>
      </w:r>
      <w:r w:rsidR="00FA63DE">
        <w:t xml:space="preserve">this source of data </w:t>
      </w:r>
      <w:r w:rsidR="004A37A8">
        <w:t>has been used</w:t>
      </w:r>
      <w:r w:rsidR="00FA63DE">
        <w:t xml:space="preserve"> solely</w:t>
      </w:r>
      <w:r w:rsidR="004A37A8">
        <w:t xml:space="preserve"> to construct </w:t>
      </w:r>
      <w:r w:rsidR="00A24B93">
        <w:t>the</w:t>
      </w:r>
      <w:r w:rsidR="004A37A8">
        <w:t xml:space="preserve"> inde</w:t>
      </w:r>
      <w:r w:rsidR="00A24B93">
        <w:t>x</w:t>
      </w:r>
      <w:r w:rsidR="004A37A8">
        <w:t xml:space="preserve"> of abundance for use in the stock </w:t>
      </w:r>
      <w:r w:rsidR="0010402A">
        <w:t>assessments (e.g. Campbell, 2016</w:t>
      </w:r>
      <w:r w:rsidR="004A37A8">
        <w:t xml:space="preserve">). </w:t>
      </w:r>
      <w:r w:rsidR="005B1241">
        <w:t>I</w:t>
      </w:r>
      <w:r>
        <w:t xml:space="preserve">mprovements in compliance to ensure that all fields in the logbook are completed (e.g. area fished and hours fished) would improve the utility of these data. Also, a better recording of the locations of the fishing effort (i.e. at the tender level) would also improve the accuracy of the data for standardising catch rates. On the other hand, the data for the TIB sector is less complete and the measure of effort (days fished) is less accurate and incomplete in many instances. </w:t>
      </w:r>
      <w:r w:rsidR="00BF3961">
        <w:t xml:space="preserve">However, </w:t>
      </w:r>
      <w:r w:rsidR="009F015B">
        <w:t xml:space="preserve">given </w:t>
      </w:r>
      <w:r w:rsidR="00BF3961">
        <w:t xml:space="preserve">the potential for this sector to grow in importance in future years there is a need to assess the utility of these data to provide a useful index of resource abundance. </w:t>
      </w:r>
    </w:p>
    <w:p w:rsidR="00BF3961" w:rsidRDefault="00BF3961" w:rsidP="00BF3961">
      <w:pPr>
        <w:jc w:val="both"/>
      </w:pPr>
    </w:p>
    <w:p w:rsidR="007A1B1A" w:rsidRDefault="00C5798D" w:rsidP="00365644">
      <w:pPr>
        <w:jc w:val="both"/>
      </w:pPr>
      <w:r>
        <w:t>The results</w:t>
      </w:r>
      <w:r w:rsidR="00065218">
        <w:t xml:space="preserve"> presented above</w:t>
      </w:r>
      <w:r>
        <w:t xml:space="preserve"> indicate that while the TIB-based indices have the potential to capture the major trends stock abundance, they </w:t>
      </w:r>
      <w:r w:rsidR="00065218">
        <w:t xml:space="preserve">likely lack the detail </w:t>
      </w:r>
      <w:r w:rsidR="00A73F43">
        <w:t xml:space="preserve">required </w:t>
      </w:r>
      <w:r w:rsidR="00065218">
        <w:t>to track finer in</w:t>
      </w:r>
      <w:r w:rsidR="007A1B1A">
        <w:t xml:space="preserve">ter-annual trends in abundance. </w:t>
      </w:r>
      <w:r w:rsidR="00115207">
        <w:t xml:space="preserve">There are several reasons for this outcome. </w:t>
      </w:r>
      <w:r w:rsidR="0010402A">
        <w:t>In particular</w:t>
      </w:r>
      <w:r w:rsidR="00115207">
        <w:t xml:space="preserve">, the measures of catch and effort in the TIB data are coarser (trip-based) compared to the tender-hours based data for the TVH data. </w:t>
      </w:r>
      <w:r w:rsidR="007A1B1A">
        <w:t>Indeed, for the TIB data it remains unknown how many hours per trip fishing actually occurred and whether there are differences between the different se</w:t>
      </w:r>
      <w:r w:rsidR="0010402A">
        <w:t>llers and trends over the years</w:t>
      </w:r>
      <w:r w:rsidR="0005065F">
        <w:t xml:space="preserve">. </w:t>
      </w:r>
    </w:p>
    <w:p w:rsidR="007A1B1A" w:rsidRDefault="007A1B1A" w:rsidP="00365644">
      <w:pPr>
        <w:jc w:val="both"/>
      </w:pPr>
    </w:p>
    <w:p w:rsidR="009301CD" w:rsidRDefault="00E810EE" w:rsidP="009301CD">
      <w:pPr>
        <w:jc w:val="both"/>
      </w:pPr>
      <w:r>
        <w:t>Finally, i</w:t>
      </w:r>
      <w:r w:rsidR="002B1EFF">
        <w:t xml:space="preserve">t has been noted that </w:t>
      </w:r>
      <w:r w:rsidR="00B637B5">
        <w:t xml:space="preserve">either the docket-book or </w:t>
      </w:r>
      <w:r w:rsidR="002B1EFF">
        <w:t>many of the fields in the docket-book are not being completed, and this problem appears to have increased in recent years</w:t>
      </w:r>
      <w:r w:rsidR="00B637B5">
        <w:t xml:space="preserve"> (docket-book data is unavailable for more than 60% of the catch during 2013 and 2014, c.f. Figure 3b)</w:t>
      </w:r>
      <w:r w:rsidR="002B1EFF">
        <w:t xml:space="preserve">. </w:t>
      </w:r>
      <w:r w:rsidR="00DF21A8">
        <w:t>As with the TVH data</w:t>
      </w:r>
      <w:r>
        <w:t>,</w:t>
      </w:r>
      <w:r w:rsidR="009301CD">
        <w:t xml:space="preserve"> </w:t>
      </w:r>
      <w:r w:rsidR="002B1EFF">
        <w:t xml:space="preserve">more </w:t>
      </w:r>
      <w:r w:rsidR="009301CD">
        <w:t>effort need</w:t>
      </w:r>
      <w:r w:rsidR="002B1EFF">
        <w:t>s</w:t>
      </w:r>
      <w:r w:rsidR="009301CD">
        <w:t xml:space="preserve"> to </w:t>
      </w:r>
      <w:r w:rsidR="00DF21A8">
        <w:t xml:space="preserve">be </w:t>
      </w:r>
      <w:r w:rsidR="009301CD">
        <w:t>placed on ensuring the completeness and accuracy of these data</w:t>
      </w:r>
      <w:r w:rsidR="002B1EFF">
        <w:t xml:space="preserve"> if they are to be used on a continuing basis.</w:t>
      </w:r>
    </w:p>
    <w:p w:rsidR="00B637B5" w:rsidRDefault="00B637B5" w:rsidP="00D94742">
      <w:pPr>
        <w:spacing w:after="120"/>
      </w:pPr>
    </w:p>
    <w:p w:rsidR="00D94742" w:rsidRPr="00B331BB" w:rsidRDefault="00D94742" w:rsidP="00D94742">
      <w:pPr>
        <w:spacing w:after="120"/>
        <w:rPr>
          <w:b/>
        </w:rPr>
      </w:pPr>
      <w:r>
        <w:rPr>
          <w:b/>
        </w:rPr>
        <w:t>Reference</w:t>
      </w:r>
      <w:r w:rsidR="00107327">
        <w:rPr>
          <w:b/>
        </w:rPr>
        <w:t>s</w:t>
      </w:r>
    </w:p>
    <w:p w:rsidR="00B85D2C" w:rsidRDefault="00B85D2C" w:rsidP="00B85D2C">
      <w:pPr>
        <w:spacing w:after="120"/>
        <w:ind w:left="426" w:hanging="426"/>
        <w:jc w:val="both"/>
      </w:pPr>
      <w:r>
        <w:t>Campbell, R.A., 2014</w:t>
      </w:r>
      <w:r w:rsidRPr="00FF1A12">
        <w:t xml:space="preserve">. </w:t>
      </w:r>
      <w:r w:rsidRPr="00C0701F">
        <w:t xml:space="preserve">Use of </w:t>
      </w:r>
      <w:r>
        <w:t>TIB Logb</w:t>
      </w:r>
      <w:r w:rsidRPr="00C0701F">
        <w:t xml:space="preserve">ook Data to construct an Annual Abundance Index for Torres Strait Rock Lobster </w:t>
      </w:r>
      <w:r>
        <w:t xml:space="preserve">– 2014 Update. Information paper presented to the </w:t>
      </w:r>
      <w:r w:rsidR="00F81562">
        <w:t>13</w:t>
      </w:r>
      <w:r w:rsidRPr="009710B8">
        <w:rPr>
          <w:vertAlign w:val="superscript"/>
        </w:rPr>
        <w:t>th</w:t>
      </w:r>
      <w:r>
        <w:t xml:space="preserve"> meeting of the Torres Strait Rock Lobster Resource Assessment Group, held 27-28 August 2014, Brisbane.</w:t>
      </w:r>
    </w:p>
    <w:p w:rsidR="004230D3" w:rsidRDefault="004230D3" w:rsidP="004230D3">
      <w:pPr>
        <w:spacing w:after="120"/>
        <w:ind w:left="426" w:hanging="426"/>
        <w:jc w:val="both"/>
      </w:pPr>
      <w:r>
        <w:t>Campbell, R.A., 2016a</w:t>
      </w:r>
      <w:r w:rsidRPr="00FF1A12">
        <w:t xml:space="preserve">. </w:t>
      </w:r>
      <w:r w:rsidRPr="004230D3">
        <w:t>Data issues pertaining to the Torres Strait rock lobster fishery – discussions with AFMA</w:t>
      </w:r>
      <w:r>
        <w:t xml:space="preserve">. Information paper presented to the </w:t>
      </w:r>
      <w:r w:rsidR="00A37E15">
        <w:t>18</w:t>
      </w:r>
      <w:r w:rsidRPr="009710B8">
        <w:rPr>
          <w:vertAlign w:val="superscript"/>
        </w:rPr>
        <w:t>th</w:t>
      </w:r>
      <w:r>
        <w:t xml:space="preserve"> meeting of the Torres Strait Rock Lobster Resou</w:t>
      </w:r>
      <w:r w:rsidR="00A37E15">
        <w:t>rce Assessment Group, held 2-3 August 2016</w:t>
      </w:r>
      <w:r>
        <w:t xml:space="preserve">, </w:t>
      </w:r>
      <w:r w:rsidR="00770E98">
        <w:t>Thursday I</w:t>
      </w:r>
      <w:r w:rsidR="00A37E15">
        <w:t>sland</w:t>
      </w:r>
      <w:r>
        <w:t>.</w:t>
      </w:r>
    </w:p>
    <w:p w:rsidR="004D6DA7" w:rsidRDefault="004230D3" w:rsidP="004230D3">
      <w:pPr>
        <w:spacing w:after="120"/>
        <w:ind w:left="426" w:hanging="426"/>
        <w:jc w:val="both"/>
      </w:pPr>
      <w:r>
        <w:t>Campbell, R.A., 2016b</w:t>
      </w:r>
      <w:r w:rsidRPr="00FF1A12">
        <w:t xml:space="preserve">. </w:t>
      </w:r>
      <w:r w:rsidR="00BE60A5" w:rsidRPr="00BE60A5">
        <w:rPr>
          <w:bCs/>
          <w:lang w:val="en-US"/>
        </w:rPr>
        <w:t>Separating TIB, TVH and Processor catch records from Docket-Book Dat</w:t>
      </w:r>
      <w:r w:rsidR="00BE60A5">
        <w:rPr>
          <w:bCs/>
          <w:lang w:val="en-US"/>
        </w:rPr>
        <w:t>a</w:t>
      </w:r>
      <w:r w:rsidRPr="00BE60A5">
        <w:t>.</w:t>
      </w:r>
      <w:r>
        <w:t xml:space="preserve"> Report to AFMA. </w:t>
      </w:r>
    </w:p>
    <w:p w:rsidR="0032453D" w:rsidRDefault="0032453D" w:rsidP="0032453D">
      <w:pPr>
        <w:spacing w:after="120"/>
        <w:ind w:left="426" w:hanging="426"/>
        <w:jc w:val="both"/>
      </w:pPr>
      <w:r>
        <w:t>Campbell, R.A., 2016c</w:t>
      </w:r>
      <w:r w:rsidRPr="00FF1A12">
        <w:t xml:space="preserve">. </w:t>
      </w:r>
      <w:r w:rsidRPr="00C0701F">
        <w:t xml:space="preserve">Use of </w:t>
      </w:r>
      <w:r>
        <w:t>TVH Logb</w:t>
      </w:r>
      <w:r w:rsidRPr="00C0701F">
        <w:t xml:space="preserve">ook Data to construct an Annual Abundance Index for Torres Strait Rock Lobster </w:t>
      </w:r>
      <w:r>
        <w:t>– 2016 Update. Information paper to be presented to the 19</w:t>
      </w:r>
      <w:r w:rsidRPr="009710B8">
        <w:rPr>
          <w:vertAlign w:val="superscript"/>
        </w:rPr>
        <w:t>th</w:t>
      </w:r>
      <w:r>
        <w:t xml:space="preserve"> meeting of the Torres Strait Rock Lobster Resource Assessment Group,</w:t>
      </w:r>
      <w:r w:rsidRPr="0070186A">
        <w:t xml:space="preserve"> </w:t>
      </w:r>
      <w:r>
        <w:t>held 13 December 2016, Cairns.</w:t>
      </w:r>
    </w:p>
    <w:p w:rsidR="00786714" w:rsidRDefault="00786714" w:rsidP="004230D3">
      <w:pPr>
        <w:spacing w:after="120"/>
        <w:ind w:left="426" w:hanging="426"/>
        <w:jc w:val="both"/>
      </w:pPr>
      <w:r>
        <w:br w:type="page"/>
      </w:r>
    </w:p>
    <w:p w:rsidR="00913F8E" w:rsidRDefault="004300F1">
      <w:r>
        <w:lastRenderedPageBreak/>
        <w:t>Appendix A.</w:t>
      </w:r>
      <w:r w:rsidR="00AA187B">
        <w:t xml:space="preserve"> The Buyers and Processors Docket Book (TDB01) used in the TIB sector of the Torres Strait rock lobster fishery.</w:t>
      </w:r>
    </w:p>
    <w:p w:rsidR="00AA187B" w:rsidRDefault="00AA187B"/>
    <w:p w:rsidR="00AA187B" w:rsidRDefault="00CE2D8B">
      <w:r w:rsidRPr="00CE2D8B">
        <w:rPr>
          <w:noProof/>
        </w:rPr>
        <w:drawing>
          <wp:inline distT="0" distB="0" distL="0" distR="0">
            <wp:extent cx="5731510" cy="8029970"/>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31510" cy="8029970"/>
                    </a:xfrm>
                    <a:prstGeom prst="rect">
                      <a:avLst/>
                    </a:prstGeom>
                    <a:noFill/>
                    <a:ln w="9525">
                      <a:noFill/>
                      <a:miter lim="800000"/>
                      <a:headEnd/>
                      <a:tailEnd/>
                    </a:ln>
                  </pic:spPr>
                </pic:pic>
              </a:graphicData>
            </a:graphic>
          </wp:inline>
        </w:drawing>
      </w:r>
    </w:p>
    <w:p w:rsidR="00A2477A" w:rsidRDefault="00A2477A"/>
    <w:p w:rsidR="00A2477A" w:rsidRDefault="00A2477A">
      <w:pPr>
        <w:sectPr w:rsidR="00A2477A" w:rsidSect="00CE0D49">
          <w:pgSz w:w="11906" w:h="16838"/>
          <w:pgMar w:top="1440" w:right="1440" w:bottom="1440" w:left="1440" w:header="708" w:footer="708" w:gutter="0"/>
          <w:cols w:space="708"/>
          <w:docGrid w:linePitch="360"/>
        </w:sectPr>
      </w:pPr>
    </w:p>
    <w:p w:rsidR="00CE2D8B" w:rsidRDefault="00A2477A" w:rsidP="005E0B6B">
      <w:pPr>
        <w:spacing w:after="120"/>
      </w:pPr>
      <w:r>
        <w:lastRenderedPageBreak/>
        <w:t>Appendix B</w:t>
      </w:r>
      <w:r w:rsidR="00E432F1">
        <w:t xml:space="preserve"> (i)</w:t>
      </w:r>
      <w:r>
        <w:t>. Number of GLM data records and associated CPUE in each Year</w:t>
      </w:r>
      <w:r w:rsidR="00F067E6">
        <w:t>*</w:t>
      </w:r>
      <w:r>
        <w:t>Area strata.</w:t>
      </w:r>
      <w:bookmarkStart w:id="0" w:name="_GoBack"/>
      <w:bookmarkEnd w:id="0"/>
    </w:p>
    <w:p w:rsidR="00A2477A" w:rsidRDefault="00A2477A"/>
    <w:p w:rsidR="00A27C9A" w:rsidRDefault="00A27C9A" w:rsidP="00A27C9A"/>
    <w:p w:rsidR="00A27C9A" w:rsidRDefault="00A27C9A">
      <w:pPr>
        <w:spacing w:after="200" w:line="276" w:lineRule="auto"/>
      </w:pPr>
      <w:r>
        <w:br w:type="page"/>
      </w:r>
    </w:p>
    <w:p w:rsidR="00A27C9A" w:rsidRDefault="00A27C9A" w:rsidP="00A27C9A">
      <w:pPr>
        <w:spacing w:after="120"/>
      </w:pPr>
      <w:r>
        <w:lastRenderedPageBreak/>
        <w:t>Appendix B (i). Number of GLM data records and associated CPUE in each Year*Area strata.</w:t>
      </w:r>
    </w:p>
    <w:p w:rsidR="00A27C9A" w:rsidRDefault="00AB2894" w:rsidP="00A27C9A">
      <w:r w:rsidRPr="00AB2894">
        <w:rPr>
          <w:noProof/>
        </w:rPr>
        <w:drawing>
          <wp:inline distT="0" distB="0" distL="0" distR="0">
            <wp:extent cx="5730875" cy="80200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00" cy="8024423"/>
                    </a:xfrm>
                    <a:prstGeom prst="rect">
                      <a:avLst/>
                    </a:prstGeom>
                    <a:noFill/>
                    <a:ln>
                      <a:noFill/>
                    </a:ln>
                  </pic:spPr>
                </pic:pic>
              </a:graphicData>
            </a:graphic>
          </wp:inline>
        </w:drawing>
      </w:r>
    </w:p>
    <w:p w:rsidR="00812E7E" w:rsidRDefault="00812E7E" w:rsidP="00A27C9A">
      <w:r>
        <w:br w:type="page"/>
      </w:r>
    </w:p>
    <w:p w:rsidR="00A2477A" w:rsidRDefault="00F067E6" w:rsidP="005E0B6B">
      <w:pPr>
        <w:spacing w:after="120"/>
      </w:pPr>
      <w:r>
        <w:lastRenderedPageBreak/>
        <w:t>Appendix B</w:t>
      </w:r>
      <w:r w:rsidR="00E432F1">
        <w:t xml:space="preserve"> (ii)</w:t>
      </w:r>
      <w:r>
        <w:t>. Number of GLM data records and associated CPUE in each Year*Quarter strata.</w:t>
      </w:r>
    </w:p>
    <w:p w:rsidR="00812E7E" w:rsidRDefault="00AB2894">
      <w:r w:rsidRPr="00AB2894">
        <w:rPr>
          <w:noProof/>
        </w:rPr>
        <w:drawing>
          <wp:inline distT="0" distB="0" distL="0" distR="0">
            <wp:extent cx="5731510" cy="597007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5970074"/>
                    </a:xfrm>
                    <a:prstGeom prst="rect">
                      <a:avLst/>
                    </a:prstGeom>
                    <a:noFill/>
                    <a:ln>
                      <a:noFill/>
                    </a:ln>
                  </pic:spPr>
                </pic:pic>
              </a:graphicData>
            </a:graphic>
          </wp:inline>
        </w:drawing>
      </w:r>
    </w:p>
    <w:p w:rsidR="00AB2894" w:rsidRDefault="00AB2894" w:rsidP="00AB2894"/>
    <w:p w:rsidR="00AB2894" w:rsidRDefault="00AB2894">
      <w:pPr>
        <w:spacing w:after="200" w:line="276" w:lineRule="auto"/>
      </w:pPr>
      <w:r>
        <w:br w:type="page"/>
      </w:r>
    </w:p>
    <w:p w:rsidR="00AB2894" w:rsidRDefault="009F53AD" w:rsidP="004B3BCA">
      <w:pPr>
        <w:spacing w:after="120"/>
      </w:pPr>
      <w:r>
        <w:lastRenderedPageBreak/>
        <w:t>Appendix B (ii). Number of GLM data records and associated CPUE in each Year*Quarter strata.</w:t>
      </w:r>
    </w:p>
    <w:p w:rsidR="009F53AD" w:rsidRDefault="009F53AD" w:rsidP="00AB2894">
      <w:r w:rsidRPr="009F53AD">
        <w:rPr>
          <w:noProof/>
        </w:rPr>
        <w:drawing>
          <wp:inline distT="0" distB="0" distL="0" distR="0">
            <wp:extent cx="5731215" cy="7493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3210" cy="7495608"/>
                    </a:xfrm>
                    <a:prstGeom prst="rect">
                      <a:avLst/>
                    </a:prstGeom>
                    <a:noFill/>
                    <a:ln>
                      <a:noFill/>
                    </a:ln>
                  </pic:spPr>
                </pic:pic>
              </a:graphicData>
            </a:graphic>
          </wp:inline>
        </w:drawing>
      </w:r>
    </w:p>
    <w:p w:rsidR="00812E7E" w:rsidRDefault="00812E7E" w:rsidP="00AB2894">
      <w:r>
        <w:br w:type="page"/>
      </w:r>
    </w:p>
    <w:p w:rsidR="00812E7E" w:rsidRDefault="00F067E6" w:rsidP="005E0B6B">
      <w:pPr>
        <w:spacing w:after="120"/>
      </w:pPr>
      <w:r>
        <w:lastRenderedPageBreak/>
        <w:t>Appendix B</w:t>
      </w:r>
      <w:r w:rsidR="00E432F1">
        <w:t xml:space="preserve"> (iii)</w:t>
      </w:r>
      <w:r>
        <w:t>. Number of GLM data records a</w:t>
      </w:r>
      <w:r w:rsidR="00C042C8">
        <w:t xml:space="preserve">nd associated CPUE in each </w:t>
      </w:r>
      <w:r>
        <w:t>Area</w:t>
      </w:r>
      <w:r w:rsidR="00C042C8">
        <w:t>*Quarter</w:t>
      </w:r>
      <w:r>
        <w:t xml:space="preserve"> strata.</w:t>
      </w:r>
    </w:p>
    <w:p w:rsidR="00812E7E" w:rsidRDefault="009A6E10" w:rsidP="00183F40">
      <w:pPr>
        <w:jc w:val="center"/>
      </w:pPr>
      <w:r w:rsidRPr="009A6E10">
        <w:rPr>
          <w:noProof/>
        </w:rPr>
        <w:drawing>
          <wp:inline distT="0" distB="0" distL="0" distR="0">
            <wp:extent cx="3667125" cy="8153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7125" cy="8153400"/>
                    </a:xfrm>
                    <a:prstGeom prst="rect">
                      <a:avLst/>
                    </a:prstGeom>
                    <a:noFill/>
                    <a:ln>
                      <a:noFill/>
                    </a:ln>
                  </pic:spPr>
                </pic:pic>
              </a:graphicData>
            </a:graphic>
          </wp:inline>
        </w:drawing>
      </w:r>
    </w:p>
    <w:p w:rsidR="00183F40" w:rsidRDefault="00183F40" w:rsidP="00183F40">
      <w:pPr>
        <w:spacing w:after="120"/>
      </w:pPr>
      <w:r>
        <w:lastRenderedPageBreak/>
        <w:t>Appendix B (iii). Number of GLM data records and associated CPUE in each Area*Quarter strata.</w:t>
      </w:r>
    </w:p>
    <w:p w:rsidR="00812E7E" w:rsidRDefault="00FD4B9A">
      <w:r w:rsidRPr="00FD4B9A">
        <w:rPr>
          <w:noProof/>
        </w:rPr>
        <w:drawing>
          <wp:inline distT="0" distB="0" distL="0" distR="0">
            <wp:extent cx="5730875" cy="8086725"/>
            <wp:effectExtent l="0" t="0" r="317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150" cy="8091346"/>
                    </a:xfrm>
                    <a:prstGeom prst="rect">
                      <a:avLst/>
                    </a:prstGeom>
                    <a:noFill/>
                    <a:ln>
                      <a:noFill/>
                    </a:ln>
                  </pic:spPr>
                </pic:pic>
              </a:graphicData>
            </a:graphic>
          </wp:inline>
        </w:drawing>
      </w:r>
    </w:p>
    <w:sectPr w:rsidR="00812E7E" w:rsidSect="00A27C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AE4" w:rsidRDefault="008E7AE4" w:rsidP="00953CA4">
      <w:r>
        <w:separator/>
      </w:r>
    </w:p>
  </w:endnote>
  <w:endnote w:type="continuationSeparator" w:id="0">
    <w:p w:rsidR="008E7AE4" w:rsidRDefault="008E7AE4" w:rsidP="0095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258233"/>
      <w:docPartObj>
        <w:docPartGallery w:val="Page Numbers (Bottom of Page)"/>
        <w:docPartUnique/>
      </w:docPartObj>
    </w:sdtPr>
    <w:sdtEndPr/>
    <w:sdtContent>
      <w:p w:rsidR="001B15BF" w:rsidRDefault="006E34D6">
        <w:pPr>
          <w:pStyle w:val="Footer"/>
          <w:jc w:val="center"/>
        </w:pPr>
        <w:r>
          <w:fldChar w:fldCharType="begin"/>
        </w:r>
        <w:r>
          <w:instrText xml:space="preserve"> PAGE   \* MERGEFORMAT </w:instrText>
        </w:r>
        <w:r>
          <w:fldChar w:fldCharType="separate"/>
        </w:r>
        <w:r w:rsidR="00AF1E8C">
          <w:rPr>
            <w:noProof/>
          </w:rPr>
          <w:t>19</w:t>
        </w:r>
        <w:r>
          <w:rPr>
            <w:noProof/>
          </w:rPr>
          <w:fldChar w:fldCharType="end"/>
        </w:r>
      </w:p>
    </w:sdtContent>
  </w:sdt>
  <w:p w:rsidR="001B15BF" w:rsidRDefault="001B15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AE4" w:rsidRDefault="008E7AE4" w:rsidP="00953CA4">
      <w:r>
        <w:separator/>
      </w:r>
    </w:p>
  </w:footnote>
  <w:footnote w:type="continuationSeparator" w:id="0">
    <w:p w:rsidR="008E7AE4" w:rsidRDefault="008E7AE4" w:rsidP="00953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5BF" w:rsidRPr="004C7D1D" w:rsidRDefault="001B15BF" w:rsidP="00C96B8F">
    <w:pPr>
      <w:pStyle w:val="Header"/>
      <w:jc w:val="right"/>
      <w:rPr>
        <w:sz w:val="18"/>
        <w:szCs w:val="18"/>
      </w:rPr>
    </w:pPr>
    <w:r w:rsidRPr="004C7D1D">
      <w:rPr>
        <w:sz w:val="18"/>
        <w:szCs w:val="18"/>
      </w:rPr>
      <w:t>A</w:t>
    </w:r>
    <w:r>
      <w:rPr>
        <w:sz w:val="18"/>
        <w:szCs w:val="18"/>
      </w:rPr>
      <w:t>n A</w:t>
    </w:r>
    <w:r w:rsidRPr="004C7D1D">
      <w:rPr>
        <w:sz w:val="18"/>
        <w:szCs w:val="18"/>
      </w:rPr>
      <w:t>bundance Index for Torres Strait Rock Lobster</w:t>
    </w:r>
    <w:r>
      <w:rPr>
        <w:sz w:val="18"/>
        <w:szCs w:val="18"/>
      </w:rPr>
      <w:t xml:space="preserve"> using TIB data: </w:t>
    </w:r>
    <w:r w:rsidR="00F016BA">
      <w:rPr>
        <w:sz w:val="18"/>
        <w:szCs w:val="18"/>
      </w:rPr>
      <w:t>TSRL RAG 13 December 2016</w:t>
    </w:r>
  </w:p>
  <w:p w:rsidR="001B15BF" w:rsidRPr="00C96B8F" w:rsidRDefault="001B15BF" w:rsidP="00C96B8F">
    <w:pPr>
      <w:pStyle w:val="Header"/>
    </w:pPr>
    <w:r>
      <w:rPr>
        <w:sz w:val="18"/>
        <w:szCs w:val="18"/>
      </w:rPr>
      <w:t>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D9F"/>
    <w:multiLevelType w:val="hybridMultilevel"/>
    <w:tmpl w:val="97783E6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67719F"/>
    <w:multiLevelType w:val="hybridMultilevel"/>
    <w:tmpl w:val="8BB4E0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2D0227"/>
    <w:multiLevelType w:val="hybridMultilevel"/>
    <w:tmpl w:val="8CE4803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C1487E"/>
    <w:multiLevelType w:val="hybridMultilevel"/>
    <w:tmpl w:val="BD224D4E"/>
    <w:lvl w:ilvl="0" w:tplc="7D44FA3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55AA1B5E"/>
    <w:multiLevelType w:val="hybridMultilevel"/>
    <w:tmpl w:val="1BBC3F0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9ED1FA6"/>
    <w:multiLevelType w:val="hybridMultilevel"/>
    <w:tmpl w:val="C00AD10E"/>
    <w:lvl w:ilvl="0" w:tplc="C4428D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27F5223"/>
    <w:multiLevelType w:val="hybridMultilevel"/>
    <w:tmpl w:val="C00AD10E"/>
    <w:lvl w:ilvl="0" w:tplc="C4428D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EDB5C45"/>
    <w:multiLevelType w:val="hybridMultilevel"/>
    <w:tmpl w:val="6706B1B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2"/>
  </w:num>
  <w:num w:numId="5">
    <w:abstractNumId w:val="1"/>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FCE"/>
    <w:rsid w:val="0000387E"/>
    <w:rsid w:val="0001000C"/>
    <w:rsid w:val="00011496"/>
    <w:rsid w:val="0001180F"/>
    <w:rsid w:val="00012C06"/>
    <w:rsid w:val="000130A9"/>
    <w:rsid w:val="00015FF6"/>
    <w:rsid w:val="00017546"/>
    <w:rsid w:val="000178DD"/>
    <w:rsid w:val="000221A2"/>
    <w:rsid w:val="00026098"/>
    <w:rsid w:val="00031B8C"/>
    <w:rsid w:val="00043859"/>
    <w:rsid w:val="00046601"/>
    <w:rsid w:val="0005065F"/>
    <w:rsid w:val="00050B7A"/>
    <w:rsid w:val="0005412C"/>
    <w:rsid w:val="00055DFA"/>
    <w:rsid w:val="00063DA0"/>
    <w:rsid w:val="00065218"/>
    <w:rsid w:val="00066F91"/>
    <w:rsid w:val="000700CD"/>
    <w:rsid w:val="00073899"/>
    <w:rsid w:val="00076BC5"/>
    <w:rsid w:val="0007727F"/>
    <w:rsid w:val="000802A4"/>
    <w:rsid w:val="000842CE"/>
    <w:rsid w:val="00084633"/>
    <w:rsid w:val="000847B8"/>
    <w:rsid w:val="00087445"/>
    <w:rsid w:val="00091998"/>
    <w:rsid w:val="00095A71"/>
    <w:rsid w:val="000A06AB"/>
    <w:rsid w:val="000B6277"/>
    <w:rsid w:val="000B7535"/>
    <w:rsid w:val="000B76A6"/>
    <w:rsid w:val="000C0DA8"/>
    <w:rsid w:val="000C5C90"/>
    <w:rsid w:val="000C6F7F"/>
    <w:rsid w:val="000C73E9"/>
    <w:rsid w:val="000D0AB5"/>
    <w:rsid w:val="000D5705"/>
    <w:rsid w:val="000D6FA8"/>
    <w:rsid w:val="000E2240"/>
    <w:rsid w:val="000E39F8"/>
    <w:rsid w:val="000F5161"/>
    <w:rsid w:val="000F5DC0"/>
    <w:rsid w:val="000F7C63"/>
    <w:rsid w:val="0010199A"/>
    <w:rsid w:val="00101D7E"/>
    <w:rsid w:val="001035F3"/>
    <w:rsid w:val="0010402A"/>
    <w:rsid w:val="00106831"/>
    <w:rsid w:val="00107327"/>
    <w:rsid w:val="001134E2"/>
    <w:rsid w:val="00114717"/>
    <w:rsid w:val="00114C17"/>
    <w:rsid w:val="00115207"/>
    <w:rsid w:val="00120A2D"/>
    <w:rsid w:val="001224DD"/>
    <w:rsid w:val="00123D02"/>
    <w:rsid w:val="001254B7"/>
    <w:rsid w:val="001263B8"/>
    <w:rsid w:val="00131E59"/>
    <w:rsid w:val="00134B81"/>
    <w:rsid w:val="001362CA"/>
    <w:rsid w:val="00143794"/>
    <w:rsid w:val="00143E0B"/>
    <w:rsid w:val="0015191A"/>
    <w:rsid w:val="00152430"/>
    <w:rsid w:val="0015769F"/>
    <w:rsid w:val="00157E13"/>
    <w:rsid w:val="00164675"/>
    <w:rsid w:val="001733D3"/>
    <w:rsid w:val="00182D92"/>
    <w:rsid w:val="00182FA5"/>
    <w:rsid w:val="00183F40"/>
    <w:rsid w:val="00183FB3"/>
    <w:rsid w:val="0019361E"/>
    <w:rsid w:val="00193B91"/>
    <w:rsid w:val="00193C63"/>
    <w:rsid w:val="00194799"/>
    <w:rsid w:val="001A1CA7"/>
    <w:rsid w:val="001A1E5B"/>
    <w:rsid w:val="001A2843"/>
    <w:rsid w:val="001A3CBF"/>
    <w:rsid w:val="001A70A9"/>
    <w:rsid w:val="001B0827"/>
    <w:rsid w:val="001B15BF"/>
    <w:rsid w:val="001B335F"/>
    <w:rsid w:val="001B5479"/>
    <w:rsid w:val="001B7B14"/>
    <w:rsid w:val="001C33A3"/>
    <w:rsid w:val="001C4829"/>
    <w:rsid w:val="001C5B00"/>
    <w:rsid w:val="001C735C"/>
    <w:rsid w:val="001D3EC9"/>
    <w:rsid w:val="001D6C6A"/>
    <w:rsid w:val="001D6D52"/>
    <w:rsid w:val="001D7AE3"/>
    <w:rsid w:val="001F0150"/>
    <w:rsid w:val="001F1338"/>
    <w:rsid w:val="001F138E"/>
    <w:rsid w:val="001F2450"/>
    <w:rsid w:val="001F2DB1"/>
    <w:rsid w:val="001F39F9"/>
    <w:rsid w:val="00203863"/>
    <w:rsid w:val="00206455"/>
    <w:rsid w:val="00206B4E"/>
    <w:rsid w:val="00212138"/>
    <w:rsid w:val="00216DB7"/>
    <w:rsid w:val="0022317F"/>
    <w:rsid w:val="00226C85"/>
    <w:rsid w:val="00227A3E"/>
    <w:rsid w:val="002359E0"/>
    <w:rsid w:val="00242EBB"/>
    <w:rsid w:val="00256DA2"/>
    <w:rsid w:val="002602CD"/>
    <w:rsid w:val="002635FD"/>
    <w:rsid w:val="00263869"/>
    <w:rsid w:val="00265B0B"/>
    <w:rsid w:val="002710CC"/>
    <w:rsid w:val="002764CB"/>
    <w:rsid w:val="002765DC"/>
    <w:rsid w:val="0029117A"/>
    <w:rsid w:val="0029225F"/>
    <w:rsid w:val="00292B26"/>
    <w:rsid w:val="00294E4D"/>
    <w:rsid w:val="002979B6"/>
    <w:rsid w:val="002A5ABA"/>
    <w:rsid w:val="002B00DD"/>
    <w:rsid w:val="002B1EFF"/>
    <w:rsid w:val="002B3475"/>
    <w:rsid w:val="002B4AE7"/>
    <w:rsid w:val="002B5465"/>
    <w:rsid w:val="002C1A1A"/>
    <w:rsid w:val="002C28D6"/>
    <w:rsid w:val="002C2C48"/>
    <w:rsid w:val="002C30E9"/>
    <w:rsid w:val="002C33BB"/>
    <w:rsid w:val="002C3B15"/>
    <w:rsid w:val="002D690D"/>
    <w:rsid w:val="002E2D25"/>
    <w:rsid w:val="002E37E1"/>
    <w:rsid w:val="002E5AA0"/>
    <w:rsid w:val="002F0364"/>
    <w:rsid w:val="002F101A"/>
    <w:rsid w:val="002F105E"/>
    <w:rsid w:val="00301E4B"/>
    <w:rsid w:val="003026A7"/>
    <w:rsid w:val="003033FC"/>
    <w:rsid w:val="00306A96"/>
    <w:rsid w:val="00310137"/>
    <w:rsid w:val="00311543"/>
    <w:rsid w:val="00311A09"/>
    <w:rsid w:val="00312720"/>
    <w:rsid w:val="00322D9E"/>
    <w:rsid w:val="0032453D"/>
    <w:rsid w:val="003247F4"/>
    <w:rsid w:val="00324EE2"/>
    <w:rsid w:val="003264CA"/>
    <w:rsid w:val="0032700E"/>
    <w:rsid w:val="00330F48"/>
    <w:rsid w:val="00333E7D"/>
    <w:rsid w:val="003370BA"/>
    <w:rsid w:val="003408C2"/>
    <w:rsid w:val="00343D61"/>
    <w:rsid w:val="003445D2"/>
    <w:rsid w:val="0034722F"/>
    <w:rsid w:val="00347CF8"/>
    <w:rsid w:val="00350596"/>
    <w:rsid w:val="003505D1"/>
    <w:rsid w:val="00354239"/>
    <w:rsid w:val="003547FD"/>
    <w:rsid w:val="0035660C"/>
    <w:rsid w:val="00364403"/>
    <w:rsid w:val="0036513B"/>
    <w:rsid w:val="00365296"/>
    <w:rsid w:val="00365644"/>
    <w:rsid w:val="003676F0"/>
    <w:rsid w:val="003729C8"/>
    <w:rsid w:val="003746FA"/>
    <w:rsid w:val="0037512A"/>
    <w:rsid w:val="003775D9"/>
    <w:rsid w:val="00382112"/>
    <w:rsid w:val="00382FE0"/>
    <w:rsid w:val="003837E6"/>
    <w:rsid w:val="00387610"/>
    <w:rsid w:val="00387657"/>
    <w:rsid w:val="00391B89"/>
    <w:rsid w:val="00395B09"/>
    <w:rsid w:val="003A234C"/>
    <w:rsid w:val="003A26BB"/>
    <w:rsid w:val="003B352C"/>
    <w:rsid w:val="003B55DC"/>
    <w:rsid w:val="003B576C"/>
    <w:rsid w:val="003B6153"/>
    <w:rsid w:val="003C067A"/>
    <w:rsid w:val="003C1042"/>
    <w:rsid w:val="003C15E5"/>
    <w:rsid w:val="003C3DBA"/>
    <w:rsid w:val="003C55DB"/>
    <w:rsid w:val="003D0CB2"/>
    <w:rsid w:val="003D2A0A"/>
    <w:rsid w:val="003D2E0C"/>
    <w:rsid w:val="003D6768"/>
    <w:rsid w:val="003D7CCE"/>
    <w:rsid w:val="003E0E4A"/>
    <w:rsid w:val="003E12C1"/>
    <w:rsid w:val="003E16DB"/>
    <w:rsid w:val="003E1DA1"/>
    <w:rsid w:val="003F01E4"/>
    <w:rsid w:val="003F1806"/>
    <w:rsid w:val="003F4516"/>
    <w:rsid w:val="003F60F7"/>
    <w:rsid w:val="003F729A"/>
    <w:rsid w:val="004009B2"/>
    <w:rsid w:val="00402B55"/>
    <w:rsid w:val="00412D3D"/>
    <w:rsid w:val="004135C7"/>
    <w:rsid w:val="004230D3"/>
    <w:rsid w:val="00424EFC"/>
    <w:rsid w:val="00425B9C"/>
    <w:rsid w:val="00426794"/>
    <w:rsid w:val="00426AC9"/>
    <w:rsid w:val="004300F1"/>
    <w:rsid w:val="00431118"/>
    <w:rsid w:val="00431333"/>
    <w:rsid w:val="00431631"/>
    <w:rsid w:val="0043207E"/>
    <w:rsid w:val="004333EC"/>
    <w:rsid w:val="00433FCF"/>
    <w:rsid w:val="004342A9"/>
    <w:rsid w:val="0044154B"/>
    <w:rsid w:val="004448D2"/>
    <w:rsid w:val="0045050D"/>
    <w:rsid w:val="00451781"/>
    <w:rsid w:val="0045596C"/>
    <w:rsid w:val="00456957"/>
    <w:rsid w:val="00461A2A"/>
    <w:rsid w:val="00464963"/>
    <w:rsid w:val="00465176"/>
    <w:rsid w:val="00465241"/>
    <w:rsid w:val="00465D6A"/>
    <w:rsid w:val="00467E6F"/>
    <w:rsid w:val="00471F11"/>
    <w:rsid w:val="00473FDE"/>
    <w:rsid w:val="004752D8"/>
    <w:rsid w:val="00477610"/>
    <w:rsid w:val="00480087"/>
    <w:rsid w:val="00482267"/>
    <w:rsid w:val="004875DE"/>
    <w:rsid w:val="00487DA6"/>
    <w:rsid w:val="004928B4"/>
    <w:rsid w:val="00494429"/>
    <w:rsid w:val="004A1A7E"/>
    <w:rsid w:val="004A37A8"/>
    <w:rsid w:val="004A5EEB"/>
    <w:rsid w:val="004A7431"/>
    <w:rsid w:val="004B151F"/>
    <w:rsid w:val="004B2714"/>
    <w:rsid w:val="004B3BCA"/>
    <w:rsid w:val="004B4077"/>
    <w:rsid w:val="004B4618"/>
    <w:rsid w:val="004C1B8E"/>
    <w:rsid w:val="004D168F"/>
    <w:rsid w:val="004D621C"/>
    <w:rsid w:val="004D6ADE"/>
    <w:rsid w:val="004D6DA7"/>
    <w:rsid w:val="004E00AC"/>
    <w:rsid w:val="004E2CC4"/>
    <w:rsid w:val="004E4467"/>
    <w:rsid w:val="004E5888"/>
    <w:rsid w:val="004E691C"/>
    <w:rsid w:val="004E6D12"/>
    <w:rsid w:val="004F02C3"/>
    <w:rsid w:val="004F1BF8"/>
    <w:rsid w:val="004F5198"/>
    <w:rsid w:val="005028AF"/>
    <w:rsid w:val="00503AAE"/>
    <w:rsid w:val="00504281"/>
    <w:rsid w:val="00504BB2"/>
    <w:rsid w:val="005066BC"/>
    <w:rsid w:val="00507787"/>
    <w:rsid w:val="00513E74"/>
    <w:rsid w:val="00515825"/>
    <w:rsid w:val="00517810"/>
    <w:rsid w:val="00522658"/>
    <w:rsid w:val="0052707E"/>
    <w:rsid w:val="00531494"/>
    <w:rsid w:val="005317CE"/>
    <w:rsid w:val="005429C3"/>
    <w:rsid w:val="00543382"/>
    <w:rsid w:val="00543B0B"/>
    <w:rsid w:val="00544731"/>
    <w:rsid w:val="00546A87"/>
    <w:rsid w:val="00546F3E"/>
    <w:rsid w:val="005531A5"/>
    <w:rsid w:val="00554841"/>
    <w:rsid w:val="00560160"/>
    <w:rsid w:val="00566C62"/>
    <w:rsid w:val="00572064"/>
    <w:rsid w:val="00574029"/>
    <w:rsid w:val="005757EB"/>
    <w:rsid w:val="00577361"/>
    <w:rsid w:val="00585579"/>
    <w:rsid w:val="00585EF9"/>
    <w:rsid w:val="00587A46"/>
    <w:rsid w:val="00587EF9"/>
    <w:rsid w:val="0059055F"/>
    <w:rsid w:val="005923A6"/>
    <w:rsid w:val="00593C2E"/>
    <w:rsid w:val="005975B7"/>
    <w:rsid w:val="005A1881"/>
    <w:rsid w:val="005A5EC0"/>
    <w:rsid w:val="005A6C4B"/>
    <w:rsid w:val="005A7B8C"/>
    <w:rsid w:val="005A7FC9"/>
    <w:rsid w:val="005B1241"/>
    <w:rsid w:val="005B1FCE"/>
    <w:rsid w:val="005B2924"/>
    <w:rsid w:val="005B5171"/>
    <w:rsid w:val="005C6AD7"/>
    <w:rsid w:val="005D0C57"/>
    <w:rsid w:val="005D3760"/>
    <w:rsid w:val="005D58CB"/>
    <w:rsid w:val="005D5BE8"/>
    <w:rsid w:val="005E0B6B"/>
    <w:rsid w:val="005E2563"/>
    <w:rsid w:val="005E2809"/>
    <w:rsid w:val="005E3789"/>
    <w:rsid w:val="005F27C4"/>
    <w:rsid w:val="00602102"/>
    <w:rsid w:val="00603987"/>
    <w:rsid w:val="00604570"/>
    <w:rsid w:val="00613148"/>
    <w:rsid w:val="00615BF9"/>
    <w:rsid w:val="00636E31"/>
    <w:rsid w:val="00636EFB"/>
    <w:rsid w:val="00641821"/>
    <w:rsid w:val="00644248"/>
    <w:rsid w:val="00646569"/>
    <w:rsid w:val="00647081"/>
    <w:rsid w:val="006514B7"/>
    <w:rsid w:val="0065343B"/>
    <w:rsid w:val="00653AE7"/>
    <w:rsid w:val="00662AEE"/>
    <w:rsid w:val="00667696"/>
    <w:rsid w:val="00667D86"/>
    <w:rsid w:val="0067005E"/>
    <w:rsid w:val="00670B26"/>
    <w:rsid w:val="00671069"/>
    <w:rsid w:val="00671B23"/>
    <w:rsid w:val="0067302A"/>
    <w:rsid w:val="006738CF"/>
    <w:rsid w:val="00675510"/>
    <w:rsid w:val="00676251"/>
    <w:rsid w:val="0068616E"/>
    <w:rsid w:val="006869FD"/>
    <w:rsid w:val="00696CD4"/>
    <w:rsid w:val="006973EC"/>
    <w:rsid w:val="006A0225"/>
    <w:rsid w:val="006A3A51"/>
    <w:rsid w:val="006A7AE8"/>
    <w:rsid w:val="006B17BB"/>
    <w:rsid w:val="006B47F0"/>
    <w:rsid w:val="006B5261"/>
    <w:rsid w:val="006B7E92"/>
    <w:rsid w:val="006C6940"/>
    <w:rsid w:val="006C7BED"/>
    <w:rsid w:val="006D3900"/>
    <w:rsid w:val="006D7BA2"/>
    <w:rsid w:val="006D7CD9"/>
    <w:rsid w:val="006E34D6"/>
    <w:rsid w:val="006F0021"/>
    <w:rsid w:val="00700D56"/>
    <w:rsid w:val="0070186A"/>
    <w:rsid w:val="007041E8"/>
    <w:rsid w:val="00704E12"/>
    <w:rsid w:val="00706DFE"/>
    <w:rsid w:val="00710594"/>
    <w:rsid w:val="007126CB"/>
    <w:rsid w:val="007126F2"/>
    <w:rsid w:val="0071360C"/>
    <w:rsid w:val="007144AB"/>
    <w:rsid w:val="00717376"/>
    <w:rsid w:val="007207E0"/>
    <w:rsid w:val="00723180"/>
    <w:rsid w:val="00730911"/>
    <w:rsid w:val="00732680"/>
    <w:rsid w:val="00733CB5"/>
    <w:rsid w:val="00734BD1"/>
    <w:rsid w:val="00735E4F"/>
    <w:rsid w:val="0074220F"/>
    <w:rsid w:val="007454CC"/>
    <w:rsid w:val="007519FD"/>
    <w:rsid w:val="007532E2"/>
    <w:rsid w:val="00754090"/>
    <w:rsid w:val="00755572"/>
    <w:rsid w:val="007559CF"/>
    <w:rsid w:val="00760798"/>
    <w:rsid w:val="00760C77"/>
    <w:rsid w:val="00770AAA"/>
    <w:rsid w:val="00770E98"/>
    <w:rsid w:val="00772E2B"/>
    <w:rsid w:val="00772F36"/>
    <w:rsid w:val="007759F3"/>
    <w:rsid w:val="00776850"/>
    <w:rsid w:val="00781DA4"/>
    <w:rsid w:val="0078509C"/>
    <w:rsid w:val="00786714"/>
    <w:rsid w:val="00790D2B"/>
    <w:rsid w:val="00794F16"/>
    <w:rsid w:val="007A0F42"/>
    <w:rsid w:val="007A1B1A"/>
    <w:rsid w:val="007A37F5"/>
    <w:rsid w:val="007A546B"/>
    <w:rsid w:val="007C2B6B"/>
    <w:rsid w:val="007C7193"/>
    <w:rsid w:val="007D204F"/>
    <w:rsid w:val="007D55B7"/>
    <w:rsid w:val="007D7C2B"/>
    <w:rsid w:val="007E1507"/>
    <w:rsid w:val="007E2BDD"/>
    <w:rsid w:val="007E4441"/>
    <w:rsid w:val="007E69F7"/>
    <w:rsid w:val="007E736C"/>
    <w:rsid w:val="007F0082"/>
    <w:rsid w:val="007F07F6"/>
    <w:rsid w:val="007F1C25"/>
    <w:rsid w:val="007F1D20"/>
    <w:rsid w:val="007F2E89"/>
    <w:rsid w:val="007F3FC5"/>
    <w:rsid w:val="007F44E5"/>
    <w:rsid w:val="00802680"/>
    <w:rsid w:val="00803F4F"/>
    <w:rsid w:val="00806F6B"/>
    <w:rsid w:val="00806F8B"/>
    <w:rsid w:val="00812E7E"/>
    <w:rsid w:val="00817760"/>
    <w:rsid w:val="00823DDB"/>
    <w:rsid w:val="008252E7"/>
    <w:rsid w:val="008262D8"/>
    <w:rsid w:val="00827B04"/>
    <w:rsid w:val="00833080"/>
    <w:rsid w:val="0083683F"/>
    <w:rsid w:val="008375AE"/>
    <w:rsid w:val="00841A1A"/>
    <w:rsid w:val="00842F40"/>
    <w:rsid w:val="008547AC"/>
    <w:rsid w:val="008550B0"/>
    <w:rsid w:val="00856508"/>
    <w:rsid w:val="00860CFC"/>
    <w:rsid w:val="00862D79"/>
    <w:rsid w:val="00863F52"/>
    <w:rsid w:val="008641D1"/>
    <w:rsid w:val="008659B1"/>
    <w:rsid w:val="00865AD9"/>
    <w:rsid w:val="0087093E"/>
    <w:rsid w:val="00870A27"/>
    <w:rsid w:val="00871FAF"/>
    <w:rsid w:val="008736D3"/>
    <w:rsid w:val="00873EB7"/>
    <w:rsid w:val="00875BE9"/>
    <w:rsid w:val="00882123"/>
    <w:rsid w:val="00882427"/>
    <w:rsid w:val="008859D9"/>
    <w:rsid w:val="00886396"/>
    <w:rsid w:val="00886B9D"/>
    <w:rsid w:val="00887173"/>
    <w:rsid w:val="00895F02"/>
    <w:rsid w:val="008A0A1D"/>
    <w:rsid w:val="008A3CCB"/>
    <w:rsid w:val="008A536A"/>
    <w:rsid w:val="008B119C"/>
    <w:rsid w:val="008B3816"/>
    <w:rsid w:val="008B7F4C"/>
    <w:rsid w:val="008D1392"/>
    <w:rsid w:val="008D16CC"/>
    <w:rsid w:val="008D4B4E"/>
    <w:rsid w:val="008D4F7A"/>
    <w:rsid w:val="008D7C35"/>
    <w:rsid w:val="008D7D55"/>
    <w:rsid w:val="008E052B"/>
    <w:rsid w:val="008E0BDD"/>
    <w:rsid w:val="008E587B"/>
    <w:rsid w:val="008E7AE4"/>
    <w:rsid w:val="008F743F"/>
    <w:rsid w:val="008F7633"/>
    <w:rsid w:val="00902C01"/>
    <w:rsid w:val="009129B4"/>
    <w:rsid w:val="00913F8E"/>
    <w:rsid w:val="0091458E"/>
    <w:rsid w:val="00915658"/>
    <w:rsid w:val="00915AC3"/>
    <w:rsid w:val="00915C3A"/>
    <w:rsid w:val="00916013"/>
    <w:rsid w:val="00917333"/>
    <w:rsid w:val="00922024"/>
    <w:rsid w:val="009301CD"/>
    <w:rsid w:val="009304BE"/>
    <w:rsid w:val="009319F1"/>
    <w:rsid w:val="0093292E"/>
    <w:rsid w:val="009417EA"/>
    <w:rsid w:val="00944F7F"/>
    <w:rsid w:val="009456BE"/>
    <w:rsid w:val="009531C0"/>
    <w:rsid w:val="00953CA4"/>
    <w:rsid w:val="009605C7"/>
    <w:rsid w:val="00963D37"/>
    <w:rsid w:val="00964655"/>
    <w:rsid w:val="0096468D"/>
    <w:rsid w:val="00965A81"/>
    <w:rsid w:val="00966E31"/>
    <w:rsid w:val="00970905"/>
    <w:rsid w:val="00971EE9"/>
    <w:rsid w:val="00976240"/>
    <w:rsid w:val="00980AF3"/>
    <w:rsid w:val="00986181"/>
    <w:rsid w:val="009918D7"/>
    <w:rsid w:val="0099305D"/>
    <w:rsid w:val="009964E3"/>
    <w:rsid w:val="009A1B74"/>
    <w:rsid w:val="009A5946"/>
    <w:rsid w:val="009A5D94"/>
    <w:rsid w:val="009A63B6"/>
    <w:rsid w:val="009A6E10"/>
    <w:rsid w:val="009B2DEF"/>
    <w:rsid w:val="009B5B4B"/>
    <w:rsid w:val="009B70F8"/>
    <w:rsid w:val="009C2B21"/>
    <w:rsid w:val="009C2F1C"/>
    <w:rsid w:val="009D38D9"/>
    <w:rsid w:val="009D4598"/>
    <w:rsid w:val="009F015B"/>
    <w:rsid w:val="009F2825"/>
    <w:rsid w:val="009F53AD"/>
    <w:rsid w:val="009F5ACD"/>
    <w:rsid w:val="009F6112"/>
    <w:rsid w:val="009F6E85"/>
    <w:rsid w:val="009F6FAD"/>
    <w:rsid w:val="00A013CD"/>
    <w:rsid w:val="00A047F3"/>
    <w:rsid w:val="00A06F83"/>
    <w:rsid w:val="00A102F6"/>
    <w:rsid w:val="00A107B3"/>
    <w:rsid w:val="00A10A84"/>
    <w:rsid w:val="00A117F3"/>
    <w:rsid w:val="00A13322"/>
    <w:rsid w:val="00A156C1"/>
    <w:rsid w:val="00A21D3E"/>
    <w:rsid w:val="00A2258D"/>
    <w:rsid w:val="00A23CD9"/>
    <w:rsid w:val="00A243CA"/>
    <w:rsid w:val="00A2477A"/>
    <w:rsid w:val="00A24B93"/>
    <w:rsid w:val="00A273B7"/>
    <w:rsid w:val="00A27C9A"/>
    <w:rsid w:val="00A35BA7"/>
    <w:rsid w:val="00A37E15"/>
    <w:rsid w:val="00A40718"/>
    <w:rsid w:val="00A412D0"/>
    <w:rsid w:val="00A42763"/>
    <w:rsid w:val="00A440C6"/>
    <w:rsid w:val="00A47A45"/>
    <w:rsid w:val="00A515C7"/>
    <w:rsid w:val="00A5760E"/>
    <w:rsid w:val="00A57BF8"/>
    <w:rsid w:val="00A607AB"/>
    <w:rsid w:val="00A65F70"/>
    <w:rsid w:val="00A67DEF"/>
    <w:rsid w:val="00A73F43"/>
    <w:rsid w:val="00A76F98"/>
    <w:rsid w:val="00A83D1B"/>
    <w:rsid w:val="00A858AC"/>
    <w:rsid w:val="00A86F02"/>
    <w:rsid w:val="00A92249"/>
    <w:rsid w:val="00A966CE"/>
    <w:rsid w:val="00A96FE5"/>
    <w:rsid w:val="00AA187B"/>
    <w:rsid w:val="00AA21BD"/>
    <w:rsid w:val="00AA51CE"/>
    <w:rsid w:val="00AA6643"/>
    <w:rsid w:val="00AA6AC0"/>
    <w:rsid w:val="00AB0884"/>
    <w:rsid w:val="00AB1726"/>
    <w:rsid w:val="00AB1DD1"/>
    <w:rsid w:val="00AB2894"/>
    <w:rsid w:val="00AB69F9"/>
    <w:rsid w:val="00AC2A44"/>
    <w:rsid w:val="00AD24CE"/>
    <w:rsid w:val="00AD2C3E"/>
    <w:rsid w:val="00AD3CD0"/>
    <w:rsid w:val="00AD539C"/>
    <w:rsid w:val="00AD5B58"/>
    <w:rsid w:val="00AD7BF2"/>
    <w:rsid w:val="00AE0306"/>
    <w:rsid w:val="00AE0F55"/>
    <w:rsid w:val="00AE2FFF"/>
    <w:rsid w:val="00AE39C7"/>
    <w:rsid w:val="00AE4CDF"/>
    <w:rsid w:val="00AE716A"/>
    <w:rsid w:val="00AE739E"/>
    <w:rsid w:val="00AF1E8C"/>
    <w:rsid w:val="00AF3676"/>
    <w:rsid w:val="00AF77B3"/>
    <w:rsid w:val="00B0374B"/>
    <w:rsid w:val="00B0652C"/>
    <w:rsid w:val="00B11D9D"/>
    <w:rsid w:val="00B12AEB"/>
    <w:rsid w:val="00B13456"/>
    <w:rsid w:val="00B14FFC"/>
    <w:rsid w:val="00B17473"/>
    <w:rsid w:val="00B17793"/>
    <w:rsid w:val="00B178EE"/>
    <w:rsid w:val="00B239CE"/>
    <w:rsid w:val="00B26173"/>
    <w:rsid w:val="00B31AAE"/>
    <w:rsid w:val="00B36542"/>
    <w:rsid w:val="00B4044E"/>
    <w:rsid w:val="00B557C8"/>
    <w:rsid w:val="00B57719"/>
    <w:rsid w:val="00B637B5"/>
    <w:rsid w:val="00B63B74"/>
    <w:rsid w:val="00B64F2D"/>
    <w:rsid w:val="00B73B27"/>
    <w:rsid w:val="00B82C05"/>
    <w:rsid w:val="00B839D7"/>
    <w:rsid w:val="00B85D2C"/>
    <w:rsid w:val="00B90905"/>
    <w:rsid w:val="00B93174"/>
    <w:rsid w:val="00B9499D"/>
    <w:rsid w:val="00B94D1E"/>
    <w:rsid w:val="00B94FBA"/>
    <w:rsid w:val="00B95DC2"/>
    <w:rsid w:val="00B9790D"/>
    <w:rsid w:val="00BA17C0"/>
    <w:rsid w:val="00BA18E0"/>
    <w:rsid w:val="00BA1A6A"/>
    <w:rsid w:val="00BA3421"/>
    <w:rsid w:val="00BA3B08"/>
    <w:rsid w:val="00BA44B3"/>
    <w:rsid w:val="00BB0995"/>
    <w:rsid w:val="00BB220C"/>
    <w:rsid w:val="00BB5B4A"/>
    <w:rsid w:val="00BB6D76"/>
    <w:rsid w:val="00BC2150"/>
    <w:rsid w:val="00BD4509"/>
    <w:rsid w:val="00BD635D"/>
    <w:rsid w:val="00BD6447"/>
    <w:rsid w:val="00BE34E4"/>
    <w:rsid w:val="00BE60A5"/>
    <w:rsid w:val="00BE68C6"/>
    <w:rsid w:val="00BE6EF3"/>
    <w:rsid w:val="00BE739E"/>
    <w:rsid w:val="00BE7518"/>
    <w:rsid w:val="00BF01F8"/>
    <w:rsid w:val="00BF3961"/>
    <w:rsid w:val="00BF3E01"/>
    <w:rsid w:val="00BF3E12"/>
    <w:rsid w:val="00BF47DD"/>
    <w:rsid w:val="00C01AE0"/>
    <w:rsid w:val="00C01CB3"/>
    <w:rsid w:val="00C01E63"/>
    <w:rsid w:val="00C020E1"/>
    <w:rsid w:val="00C042C8"/>
    <w:rsid w:val="00C059A3"/>
    <w:rsid w:val="00C11C93"/>
    <w:rsid w:val="00C21DD8"/>
    <w:rsid w:val="00C33041"/>
    <w:rsid w:val="00C33CEC"/>
    <w:rsid w:val="00C35471"/>
    <w:rsid w:val="00C36CAF"/>
    <w:rsid w:val="00C43B6A"/>
    <w:rsid w:val="00C4503A"/>
    <w:rsid w:val="00C4548B"/>
    <w:rsid w:val="00C45CE3"/>
    <w:rsid w:val="00C47019"/>
    <w:rsid w:val="00C520B2"/>
    <w:rsid w:val="00C52397"/>
    <w:rsid w:val="00C5798D"/>
    <w:rsid w:val="00C7042D"/>
    <w:rsid w:val="00C75895"/>
    <w:rsid w:val="00C75EFE"/>
    <w:rsid w:val="00C77039"/>
    <w:rsid w:val="00C77269"/>
    <w:rsid w:val="00C80BD2"/>
    <w:rsid w:val="00C823A0"/>
    <w:rsid w:val="00C83042"/>
    <w:rsid w:val="00C87BEF"/>
    <w:rsid w:val="00C90046"/>
    <w:rsid w:val="00C95E9F"/>
    <w:rsid w:val="00C96B8F"/>
    <w:rsid w:val="00CA06B1"/>
    <w:rsid w:val="00CA117C"/>
    <w:rsid w:val="00CA3480"/>
    <w:rsid w:val="00CA40CB"/>
    <w:rsid w:val="00CA44C2"/>
    <w:rsid w:val="00CB08C0"/>
    <w:rsid w:val="00CB1E97"/>
    <w:rsid w:val="00CB69AE"/>
    <w:rsid w:val="00CB7953"/>
    <w:rsid w:val="00CC0D3B"/>
    <w:rsid w:val="00CC4744"/>
    <w:rsid w:val="00CC7A61"/>
    <w:rsid w:val="00CD357A"/>
    <w:rsid w:val="00CD3C5D"/>
    <w:rsid w:val="00CD79AB"/>
    <w:rsid w:val="00CD7B23"/>
    <w:rsid w:val="00CE0D49"/>
    <w:rsid w:val="00CE2D8B"/>
    <w:rsid w:val="00CE6EAC"/>
    <w:rsid w:val="00CF2702"/>
    <w:rsid w:val="00CF2D83"/>
    <w:rsid w:val="00CF7D66"/>
    <w:rsid w:val="00D06676"/>
    <w:rsid w:val="00D10ACE"/>
    <w:rsid w:val="00D10C84"/>
    <w:rsid w:val="00D163E1"/>
    <w:rsid w:val="00D1699B"/>
    <w:rsid w:val="00D20B4B"/>
    <w:rsid w:val="00D22B99"/>
    <w:rsid w:val="00D336F2"/>
    <w:rsid w:val="00D3387E"/>
    <w:rsid w:val="00D33E92"/>
    <w:rsid w:val="00D37777"/>
    <w:rsid w:val="00D40CF7"/>
    <w:rsid w:val="00D45787"/>
    <w:rsid w:val="00D45E9E"/>
    <w:rsid w:val="00D5510E"/>
    <w:rsid w:val="00D561C4"/>
    <w:rsid w:val="00D56EA0"/>
    <w:rsid w:val="00D61B70"/>
    <w:rsid w:val="00D630E1"/>
    <w:rsid w:val="00D70460"/>
    <w:rsid w:val="00D71581"/>
    <w:rsid w:val="00D735DD"/>
    <w:rsid w:val="00D77E2D"/>
    <w:rsid w:val="00D819B5"/>
    <w:rsid w:val="00D82196"/>
    <w:rsid w:val="00D826C8"/>
    <w:rsid w:val="00D82841"/>
    <w:rsid w:val="00D82D8F"/>
    <w:rsid w:val="00D85904"/>
    <w:rsid w:val="00D86B79"/>
    <w:rsid w:val="00D90B82"/>
    <w:rsid w:val="00D90CD8"/>
    <w:rsid w:val="00D9247F"/>
    <w:rsid w:val="00D93EF4"/>
    <w:rsid w:val="00D94742"/>
    <w:rsid w:val="00D97FB7"/>
    <w:rsid w:val="00DA057C"/>
    <w:rsid w:val="00DA43B2"/>
    <w:rsid w:val="00DA44D4"/>
    <w:rsid w:val="00DA624C"/>
    <w:rsid w:val="00DA76BC"/>
    <w:rsid w:val="00DB042C"/>
    <w:rsid w:val="00DB3642"/>
    <w:rsid w:val="00DC0652"/>
    <w:rsid w:val="00DC39E9"/>
    <w:rsid w:val="00DC4111"/>
    <w:rsid w:val="00DC51FA"/>
    <w:rsid w:val="00DC57C1"/>
    <w:rsid w:val="00DD5986"/>
    <w:rsid w:val="00DF14D8"/>
    <w:rsid w:val="00DF21A8"/>
    <w:rsid w:val="00DF45C9"/>
    <w:rsid w:val="00DF68B1"/>
    <w:rsid w:val="00DF6C35"/>
    <w:rsid w:val="00E00CC5"/>
    <w:rsid w:val="00E023EA"/>
    <w:rsid w:val="00E03E5B"/>
    <w:rsid w:val="00E04D30"/>
    <w:rsid w:val="00E04F87"/>
    <w:rsid w:val="00E1017C"/>
    <w:rsid w:val="00E1151A"/>
    <w:rsid w:val="00E202BD"/>
    <w:rsid w:val="00E27AD8"/>
    <w:rsid w:val="00E34F22"/>
    <w:rsid w:val="00E36CE3"/>
    <w:rsid w:val="00E40A96"/>
    <w:rsid w:val="00E40B23"/>
    <w:rsid w:val="00E432F1"/>
    <w:rsid w:val="00E43360"/>
    <w:rsid w:val="00E43D09"/>
    <w:rsid w:val="00E45632"/>
    <w:rsid w:val="00E5183F"/>
    <w:rsid w:val="00E549BD"/>
    <w:rsid w:val="00E56C82"/>
    <w:rsid w:val="00E572C5"/>
    <w:rsid w:val="00E624F8"/>
    <w:rsid w:val="00E659EE"/>
    <w:rsid w:val="00E707F3"/>
    <w:rsid w:val="00E76A24"/>
    <w:rsid w:val="00E77CE1"/>
    <w:rsid w:val="00E80CBE"/>
    <w:rsid w:val="00E810EE"/>
    <w:rsid w:val="00E84D63"/>
    <w:rsid w:val="00E87EE3"/>
    <w:rsid w:val="00E96BF6"/>
    <w:rsid w:val="00EA44F4"/>
    <w:rsid w:val="00EA4E6E"/>
    <w:rsid w:val="00EB0EFB"/>
    <w:rsid w:val="00EB3CBF"/>
    <w:rsid w:val="00EC35A9"/>
    <w:rsid w:val="00EC3883"/>
    <w:rsid w:val="00EC4ED6"/>
    <w:rsid w:val="00EC6480"/>
    <w:rsid w:val="00ED33AE"/>
    <w:rsid w:val="00EE3C6A"/>
    <w:rsid w:val="00EF1721"/>
    <w:rsid w:val="00EF2F1A"/>
    <w:rsid w:val="00EF3D50"/>
    <w:rsid w:val="00EF55D0"/>
    <w:rsid w:val="00F0035C"/>
    <w:rsid w:val="00F016BA"/>
    <w:rsid w:val="00F017C6"/>
    <w:rsid w:val="00F044D3"/>
    <w:rsid w:val="00F04B94"/>
    <w:rsid w:val="00F05DAC"/>
    <w:rsid w:val="00F067E6"/>
    <w:rsid w:val="00F165B9"/>
    <w:rsid w:val="00F21495"/>
    <w:rsid w:val="00F249DA"/>
    <w:rsid w:val="00F27061"/>
    <w:rsid w:val="00F3004B"/>
    <w:rsid w:val="00F34CB5"/>
    <w:rsid w:val="00F42FEE"/>
    <w:rsid w:val="00F46096"/>
    <w:rsid w:val="00F46CDD"/>
    <w:rsid w:val="00F52FED"/>
    <w:rsid w:val="00F6599D"/>
    <w:rsid w:val="00F66D8B"/>
    <w:rsid w:val="00F70A02"/>
    <w:rsid w:val="00F70D3A"/>
    <w:rsid w:val="00F738F9"/>
    <w:rsid w:val="00F74D3A"/>
    <w:rsid w:val="00F75208"/>
    <w:rsid w:val="00F7753D"/>
    <w:rsid w:val="00F80E4F"/>
    <w:rsid w:val="00F81562"/>
    <w:rsid w:val="00F82651"/>
    <w:rsid w:val="00F87A4D"/>
    <w:rsid w:val="00F90712"/>
    <w:rsid w:val="00F90A0E"/>
    <w:rsid w:val="00F90C57"/>
    <w:rsid w:val="00F915A5"/>
    <w:rsid w:val="00F92C44"/>
    <w:rsid w:val="00F9359D"/>
    <w:rsid w:val="00F945E4"/>
    <w:rsid w:val="00F948C3"/>
    <w:rsid w:val="00F951B8"/>
    <w:rsid w:val="00F9754C"/>
    <w:rsid w:val="00FA06F5"/>
    <w:rsid w:val="00FA0D59"/>
    <w:rsid w:val="00FA600C"/>
    <w:rsid w:val="00FA63DE"/>
    <w:rsid w:val="00FB4152"/>
    <w:rsid w:val="00FB7382"/>
    <w:rsid w:val="00FC43C0"/>
    <w:rsid w:val="00FC490C"/>
    <w:rsid w:val="00FD1ABB"/>
    <w:rsid w:val="00FD273D"/>
    <w:rsid w:val="00FD30FC"/>
    <w:rsid w:val="00FD4B9A"/>
    <w:rsid w:val="00FD53E9"/>
    <w:rsid w:val="00FE269E"/>
    <w:rsid w:val="00FE584B"/>
    <w:rsid w:val="00FE66D9"/>
    <w:rsid w:val="00FF31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1A8D66-8E3A-478A-A1D3-3DA42775B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FCE"/>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5660C"/>
    <w:rPr>
      <w:rFonts w:ascii="Tahoma" w:hAnsi="Tahoma" w:cs="Tahoma"/>
      <w:sz w:val="16"/>
      <w:szCs w:val="16"/>
    </w:rPr>
  </w:style>
  <w:style w:type="character" w:customStyle="1" w:styleId="BalloonTextChar">
    <w:name w:val="Balloon Text Char"/>
    <w:basedOn w:val="DefaultParagraphFont"/>
    <w:link w:val="BalloonText"/>
    <w:rsid w:val="0035660C"/>
    <w:rPr>
      <w:rFonts w:ascii="Tahoma" w:eastAsia="Times New Roman" w:hAnsi="Tahoma" w:cs="Tahoma"/>
      <w:sz w:val="16"/>
      <w:szCs w:val="16"/>
      <w:lang w:eastAsia="en-AU"/>
    </w:rPr>
  </w:style>
  <w:style w:type="paragraph" w:styleId="ListParagraph">
    <w:name w:val="List Paragraph"/>
    <w:basedOn w:val="Normal"/>
    <w:uiPriority w:val="34"/>
    <w:qFormat/>
    <w:rsid w:val="005028AF"/>
    <w:pPr>
      <w:ind w:left="720"/>
      <w:contextualSpacing/>
    </w:pPr>
  </w:style>
  <w:style w:type="paragraph" w:styleId="Header">
    <w:name w:val="header"/>
    <w:basedOn w:val="Normal"/>
    <w:link w:val="HeaderChar"/>
    <w:unhideWhenUsed/>
    <w:rsid w:val="00953CA4"/>
    <w:pPr>
      <w:tabs>
        <w:tab w:val="center" w:pos="4513"/>
        <w:tab w:val="right" w:pos="9026"/>
      </w:tabs>
    </w:pPr>
  </w:style>
  <w:style w:type="character" w:customStyle="1" w:styleId="HeaderChar">
    <w:name w:val="Header Char"/>
    <w:basedOn w:val="DefaultParagraphFont"/>
    <w:link w:val="Header"/>
    <w:uiPriority w:val="99"/>
    <w:rsid w:val="00953CA4"/>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953CA4"/>
    <w:pPr>
      <w:tabs>
        <w:tab w:val="center" w:pos="4513"/>
        <w:tab w:val="right" w:pos="9026"/>
      </w:tabs>
    </w:pPr>
  </w:style>
  <w:style w:type="character" w:customStyle="1" w:styleId="FooterChar">
    <w:name w:val="Footer Char"/>
    <w:basedOn w:val="DefaultParagraphFont"/>
    <w:link w:val="Footer"/>
    <w:uiPriority w:val="99"/>
    <w:rsid w:val="00953CA4"/>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BE7518"/>
    <w:rPr>
      <w:color w:val="808080"/>
    </w:rPr>
  </w:style>
  <w:style w:type="character" w:customStyle="1" w:styleId="tgc">
    <w:name w:val="_tgc"/>
    <w:basedOn w:val="DefaultParagraphFont"/>
    <w:rsid w:val="00C43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02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wmf"/><Relationship Id="rId39" Type="http://schemas.openxmlformats.org/officeDocument/2006/relationships/image" Target="media/image25.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oleObject" Target="embeddings/oleObject2.bin"/><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oleObject4.bin"/><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w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22.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F32B51-E76A-40D4-9BD5-13270F0E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24</Pages>
  <Words>4536</Words>
  <Characters>25859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Using TIB data to construct abundance indices for Torres Strait rock lobster</vt:lpstr>
    </vt:vector>
  </TitlesOfParts>
  <Company>CSIRO</Company>
  <LinksUpToDate>false</LinksUpToDate>
  <CharactersWithSpaces>30335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TIB data to construct abundance indices for Torres Strait rock lobster</dc:title>
  <dc:creator>Campbell, Robert (O&amp;A, Aspendale)</dc:creator>
  <cp:lastModifiedBy>Plaganyi-Lloyd, Eva (O&amp;A, St. Lucia)</cp:lastModifiedBy>
  <cp:revision>145</cp:revision>
  <cp:lastPrinted>2016-11-30T03:27:00Z</cp:lastPrinted>
  <dcterms:created xsi:type="dcterms:W3CDTF">2015-08-25T23:24:00Z</dcterms:created>
  <dcterms:modified xsi:type="dcterms:W3CDTF">2016-12-03T21:05:00Z</dcterms:modified>
</cp:coreProperties>
</file>