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B4B" w:rsidRPr="006518C8" w:rsidRDefault="002D03CB" w:rsidP="00F52B4B">
      <w:pPr>
        <w:rPr>
          <w:sz w:val="32"/>
          <w:szCs w:val="32"/>
        </w:rPr>
      </w:pPr>
      <w:r>
        <w:rPr>
          <w:sz w:val="32"/>
          <w:szCs w:val="32"/>
        </w:rPr>
        <w:t>D</w:t>
      </w:r>
      <w:r w:rsidR="00095695">
        <w:rPr>
          <w:sz w:val="32"/>
          <w:szCs w:val="32"/>
        </w:rPr>
        <w:t xml:space="preserve">ata issues </w:t>
      </w:r>
      <w:r>
        <w:rPr>
          <w:sz w:val="32"/>
          <w:szCs w:val="32"/>
        </w:rPr>
        <w:t>pertaining to</w:t>
      </w:r>
      <w:r w:rsidR="00095695">
        <w:rPr>
          <w:sz w:val="32"/>
          <w:szCs w:val="32"/>
        </w:rPr>
        <w:t xml:space="preserve"> the Torres Strait rock lobster fishery</w:t>
      </w:r>
      <w:r>
        <w:rPr>
          <w:sz w:val="32"/>
          <w:szCs w:val="32"/>
        </w:rPr>
        <w:t xml:space="preserve"> – discussions with AFMA</w:t>
      </w:r>
      <w:r w:rsidR="00095695">
        <w:rPr>
          <w:sz w:val="32"/>
          <w:szCs w:val="32"/>
        </w:rPr>
        <w:t>.</w:t>
      </w:r>
    </w:p>
    <w:p w:rsidR="00F52B4B" w:rsidRDefault="00F52B4B" w:rsidP="00F52B4B"/>
    <w:p w:rsidR="00F52B4B" w:rsidRPr="004A4BF2" w:rsidRDefault="00F52B4B" w:rsidP="00F52B4B">
      <w:pPr>
        <w:spacing w:after="120"/>
        <w:rPr>
          <w:i/>
        </w:rPr>
      </w:pPr>
      <w:r>
        <w:rPr>
          <w:i/>
        </w:rPr>
        <w:t>Robert Campbell</w:t>
      </w:r>
    </w:p>
    <w:p w:rsidR="00F52B4B" w:rsidRDefault="00F52B4B" w:rsidP="000F7577">
      <w:pPr>
        <w:spacing w:after="120"/>
      </w:pPr>
      <w:r>
        <w:t>CSIRO Oceans and Atmosphere Flagship</w:t>
      </w:r>
    </w:p>
    <w:p w:rsidR="00F52B4B" w:rsidRDefault="00095695" w:rsidP="00F52B4B">
      <w:r>
        <w:t>July</w:t>
      </w:r>
      <w:r w:rsidR="00F52B4B">
        <w:t xml:space="preserve"> 2016</w:t>
      </w:r>
    </w:p>
    <w:p w:rsidR="00F52B4B" w:rsidRDefault="00F52B4B" w:rsidP="00F52B4B"/>
    <w:p w:rsidR="000C1B59" w:rsidRDefault="000C1B59" w:rsidP="00F52B4B"/>
    <w:p w:rsidR="007E2945" w:rsidRPr="000C1B59" w:rsidRDefault="0006091A" w:rsidP="000C1B59">
      <w:pPr>
        <w:spacing w:after="120"/>
        <w:rPr>
          <w:b/>
        </w:rPr>
      </w:pPr>
      <w:r w:rsidRPr="000C1B59">
        <w:rPr>
          <w:b/>
        </w:rPr>
        <w:t>Introduction</w:t>
      </w:r>
    </w:p>
    <w:p w:rsidR="00AD7012" w:rsidRDefault="00AD7012" w:rsidP="005A6293">
      <w:pPr>
        <w:jc w:val="both"/>
      </w:pPr>
      <w:r>
        <w:t xml:space="preserve">In compiling and analysing the data pertaining to the Torres Strait rock lobster fishery for the past few assessments, a number of issues related to aspects of the data have been identified, mainly associated </w:t>
      </w:r>
      <w:r w:rsidR="00B3589A">
        <w:t>with the TI</w:t>
      </w:r>
      <w:r>
        <w:t xml:space="preserve">B </w:t>
      </w:r>
      <w:r w:rsidR="00B3589A">
        <w:t>docket-book</w:t>
      </w:r>
      <w:r>
        <w:t xml:space="preserve"> data (Campbell 2015). In order to discuss and clarify where possible these issues a meeting was organised with the AFMA data </w:t>
      </w:r>
      <w:r w:rsidR="006E6E3C">
        <w:t xml:space="preserve">and licensing </w:t>
      </w:r>
      <w:r>
        <w:t>section</w:t>
      </w:r>
      <w:r w:rsidR="006E6E3C">
        <w:t>s</w:t>
      </w:r>
      <w:r w:rsidR="00A70F30">
        <w:t xml:space="preserve"> in Canberra. The meeting was held on 19</w:t>
      </w:r>
      <w:r>
        <w:t xml:space="preserve"> April 2016</w:t>
      </w:r>
      <w:r w:rsidR="00A70F30">
        <w:t xml:space="preserve"> and was attended by John Garvey </w:t>
      </w:r>
      <w:r w:rsidR="006E6E3C">
        <w:t xml:space="preserve">(data management section) </w:t>
      </w:r>
      <w:r w:rsidR="00A70F30">
        <w:t xml:space="preserve">and Narelle </w:t>
      </w:r>
      <w:r w:rsidR="00172652">
        <w:t>Willia</w:t>
      </w:r>
      <w:r w:rsidR="00960CEF">
        <w:t>ms</w:t>
      </w:r>
      <w:r w:rsidR="006E6E3C">
        <w:t xml:space="preserve"> (licensing</w:t>
      </w:r>
      <w:r w:rsidR="00A70F30">
        <w:t xml:space="preserve"> section), Dean Pease (Executive officer for TSRL) and myself. </w:t>
      </w:r>
      <w:r>
        <w:t>This report provides a summary of the issues discussed and some conclusions.</w:t>
      </w:r>
    </w:p>
    <w:p w:rsidR="0006091A" w:rsidRDefault="0006091A" w:rsidP="00F52B4B"/>
    <w:p w:rsidR="0006091A" w:rsidRPr="000C1B59" w:rsidRDefault="005155BD" w:rsidP="005155BD">
      <w:pPr>
        <w:spacing w:after="120"/>
        <w:rPr>
          <w:b/>
        </w:rPr>
      </w:pPr>
      <w:r w:rsidRPr="000C1B59">
        <w:rPr>
          <w:b/>
        </w:rPr>
        <w:t>Docket-book data</w:t>
      </w:r>
    </w:p>
    <w:p w:rsidR="006F55CE" w:rsidRDefault="00246A02" w:rsidP="00246A02">
      <w:pPr>
        <w:jc w:val="both"/>
      </w:pPr>
      <w:r>
        <w:t xml:space="preserve">A copy of the DB01 docket-book is shown in Appendix A. The docket-book records the </w:t>
      </w:r>
      <w:proofErr w:type="gramStart"/>
      <w:r>
        <w:t>transaction</w:t>
      </w:r>
      <w:proofErr w:type="gramEnd"/>
      <w:r>
        <w:t xml:space="preserve"> date, the name of the seller together with details of the catch (in weight) and the price obtained. Additional information is also provided regarding the vessel, the number of crew, the number of days fished and the fishing methods used. This information therefore provides a measure of both the catch and effort for a given seller (or fisher) during a fishing trip and hence can be used to gain a measure of the catch rate (weight of lobsters caught per day fished) during that trip. </w:t>
      </w:r>
    </w:p>
    <w:p w:rsidR="00246A02" w:rsidRDefault="00246A02" w:rsidP="00246A02">
      <w:pPr>
        <w:jc w:val="both"/>
      </w:pPr>
    </w:p>
    <w:p w:rsidR="00246A02" w:rsidRDefault="00246A02" w:rsidP="00246A02">
      <w:pPr>
        <w:jc w:val="both"/>
      </w:pPr>
      <w:r>
        <w:t>However, there are a number of issues with the docket-book system which create problems with using this data for estimating the total catch and effort in the TIB fishery. These issues include:</w:t>
      </w:r>
    </w:p>
    <w:p w:rsidR="00246A02" w:rsidRDefault="00246A02" w:rsidP="00246A02">
      <w:pPr>
        <w:pStyle w:val="ListParagraph"/>
        <w:numPr>
          <w:ilvl w:val="0"/>
          <w:numId w:val="2"/>
        </w:numPr>
        <w:ind w:hanging="153"/>
        <w:jc w:val="both"/>
      </w:pPr>
      <w:r>
        <w:t>The requirement that completion of the docket-book is only voluntary,</w:t>
      </w:r>
    </w:p>
    <w:p w:rsidR="00246A02" w:rsidRDefault="00246A02" w:rsidP="00246A02">
      <w:pPr>
        <w:pStyle w:val="ListParagraph"/>
        <w:numPr>
          <w:ilvl w:val="0"/>
          <w:numId w:val="2"/>
        </w:numPr>
        <w:ind w:hanging="153"/>
        <w:jc w:val="both"/>
      </w:pPr>
      <w:r>
        <w:t xml:space="preserve"> The fact that catches recorded in the docket-book can also be reported elsewhere, including the TVH logbook,</w:t>
      </w:r>
    </w:p>
    <w:p w:rsidR="00246A02" w:rsidRDefault="00246A02" w:rsidP="00246A02">
      <w:pPr>
        <w:pStyle w:val="ListParagraph"/>
        <w:numPr>
          <w:ilvl w:val="0"/>
          <w:numId w:val="2"/>
        </w:numPr>
        <w:ind w:hanging="153"/>
        <w:jc w:val="both"/>
      </w:pPr>
      <w:r>
        <w:t>The fact that processors can also record catches in the docket-book, essentially creating duplicates.</w:t>
      </w:r>
    </w:p>
    <w:p w:rsidR="00246A02" w:rsidRDefault="00246A02" w:rsidP="00246A02">
      <w:pPr>
        <w:pStyle w:val="ListParagraph"/>
        <w:ind w:left="0"/>
        <w:jc w:val="both"/>
      </w:pPr>
    </w:p>
    <w:p w:rsidR="00246A02" w:rsidRPr="000C1B59" w:rsidRDefault="00246A02" w:rsidP="000C1B59">
      <w:pPr>
        <w:spacing w:after="120"/>
        <w:rPr>
          <w:b/>
        </w:rPr>
      </w:pPr>
      <w:r w:rsidRPr="000C1B59">
        <w:rPr>
          <w:b/>
        </w:rPr>
        <w:t>Specific Data Issues</w:t>
      </w:r>
    </w:p>
    <w:p w:rsidR="006F55CE" w:rsidRPr="006F55CE" w:rsidRDefault="006F55CE" w:rsidP="006F55CE">
      <w:pPr>
        <w:pStyle w:val="ListParagraph"/>
        <w:spacing w:after="120"/>
        <w:ind w:left="0"/>
        <w:contextualSpacing w:val="0"/>
        <w:jc w:val="both"/>
        <w:rPr>
          <w:i/>
        </w:rPr>
      </w:pPr>
      <w:r w:rsidRPr="006F55CE">
        <w:rPr>
          <w:i/>
        </w:rPr>
        <w:t>Decline in Docket-Book Records</w:t>
      </w:r>
    </w:p>
    <w:p w:rsidR="006F55CE" w:rsidRDefault="006F55CE" w:rsidP="006F55CE">
      <w:pPr>
        <w:pStyle w:val="ListParagraph"/>
        <w:ind w:left="0"/>
        <w:jc w:val="both"/>
      </w:pPr>
      <w:r>
        <w:t xml:space="preserve">The number of catch records and the associated estimate of the total catch of rock lobsters in the TIB sector each year is shown in Table 1. The number of records has decreased significantly since 2012. This is due to the fact that a significant portion (estimated to be around 43%) of the </w:t>
      </w:r>
      <w:r w:rsidR="006E6E3C">
        <w:t xml:space="preserve">TIB sector </w:t>
      </w:r>
      <w:r>
        <w:t xml:space="preserve">catch in 2013 was attributed to aggregate </w:t>
      </w:r>
      <w:r w:rsidR="002418E8">
        <w:t xml:space="preserve">annual </w:t>
      </w:r>
      <w:r>
        <w:t xml:space="preserve">catch records </w:t>
      </w:r>
      <w:r w:rsidR="002418E8">
        <w:t xml:space="preserve">sent to the AFMA office on Thursday Island to account for catches </w:t>
      </w:r>
      <w:r>
        <w:t>received by processors</w:t>
      </w:r>
      <w:r w:rsidR="002418E8">
        <w:t xml:space="preserve"> </w:t>
      </w:r>
      <w:r>
        <w:t>but no</w:t>
      </w:r>
      <w:r w:rsidR="002418E8">
        <w:t>t</w:t>
      </w:r>
      <w:r>
        <w:t xml:space="preserve"> recorded in the docket-books</w:t>
      </w:r>
      <w:r w:rsidR="002418E8">
        <w:t xml:space="preserve"> sent to the AFMA data section</w:t>
      </w:r>
      <w:r>
        <w:t xml:space="preserve">. A similar situation also occurred in 2014 when again aggregate catch records (representing 50% of the total catch for </w:t>
      </w:r>
      <w:r w:rsidR="006E6E3C">
        <w:t xml:space="preserve">the TIB sector </w:t>
      </w:r>
      <w:r>
        <w:t xml:space="preserve">this year) were added to the TIB database to account for </w:t>
      </w:r>
      <w:r w:rsidR="002418E8">
        <w:t>lobster</w:t>
      </w:r>
      <w:r>
        <w:t>s received by processors but not recorded in the docket-book.</w:t>
      </w:r>
    </w:p>
    <w:p w:rsidR="0027773F" w:rsidRDefault="0027773F" w:rsidP="006F55CE">
      <w:pPr>
        <w:pStyle w:val="ListParagraph"/>
        <w:ind w:left="0"/>
        <w:jc w:val="both"/>
      </w:pPr>
    </w:p>
    <w:p w:rsidR="004F5BFB" w:rsidRDefault="004F5BFB" w:rsidP="00E27039">
      <w:pPr>
        <w:pStyle w:val="ListParagraph"/>
        <w:spacing w:after="120"/>
        <w:ind w:left="0"/>
        <w:contextualSpacing w:val="0"/>
        <w:jc w:val="both"/>
      </w:pPr>
      <w:r>
        <w:t xml:space="preserve">Table 1. </w:t>
      </w:r>
      <w:r w:rsidR="00E27039">
        <w:t>The number of catch records and the associated estimate of the total catch of rock lobsters in the TIB sector by year.</w:t>
      </w:r>
    </w:p>
    <w:p w:rsidR="004F5BFB" w:rsidRDefault="004F5BFB" w:rsidP="0013037B">
      <w:pPr>
        <w:pStyle w:val="ListParagraph"/>
        <w:ind w:left="0"/>
        <w:jc w:val="center"/>
      </w:pPr>
      <w:r w:rsidRPr="004F5BFB">
        <w:rPr>
          <w:noProof/>
        </w:rPr>
        <w:drawing>
          <wp:inline distT="0" distB="0" distL="0" distR="0">
            <wp:extent cx="5386315" cy="512045"/>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9771" cy="524732"/>
                    </a:xfrm>
                    <a:prstGeom prst="rect">
                      <a:avLst/>
                    </a:prstGeom>
                    <a:noFill/>
                    <a:ln>
                      <a:noFill/>
                    </a:ln>
                  </pic:spPr>
                </pic:pic>
              </a:graphicData>
            </a:graphic>
          </wp:inline>
        </w:drawing>
      </w:r>
    </w:p>
    <w:p w:rsidR="004F5BFB" w:rsidRDefault="004F5BFB" w:rsidP="006F55CE">
      <w:pPr>
        <w:pStyle w:val="ListParagraph"/>
        <w:ind w:left="0"/>
        <w:jc w:val="both"/>
      </w:pPr>
    </w:p>
    <w:p w:rsidR="0027773F" w:rsidRDefault="0027773F" w:rsidP="006F55CE">
      <w:pPr>
        <w:pStyle w:val="ListParagraph"/>
        <w:ind w:left="0"/>
        <w:jc w:val="both"/>
      </w:pPr>
      <w:r>
        <w:t xml:space="preserve">John Garvey indicated that the </w:t>
      </w:r>
      <w:r w:rsidR="00F97BFA">
        <w:t xml:space="preserve">main </w:t>
      </w:r>
      <w:r>
        <w:t xml:space="preserve">AFMA database </w:t>
      </w:r>
      <w:r w:rsidR="00F97BFA">
        <w:t xml:space="preserve">containing the data for the TIB sector of the TSRL fishery </w:t>
      </w:r>
      <w:r>
        <w:t>currently only c</w:t>
      </w:r>
      <w:r w:rsidR="00F97BFA">
        <w:t>ontained</w:t>
      </w:r>
      <w:r>
        <w:t xml:space="preserve"> the docket-book data returned to the AFMA data section in Canberra. He had been unaware of any additional aggregate catch data being supplied by the processors directly to the AFMA office on Thursday Island and as a consequence this information was currently not held within AFMA’s database for the fishery. A further consequence was that this additional catch had not been taken into consideration when estimating the GVP for the fishery. This would have resulted in the GVP values estimated in recent years being incorrect.  </w:t>
      </w:r>
    </w:p>
    <w:p w:rsidR="00F82F90" w:rsidRDefault="00F82F90" w:rsidP="007E2945">
      <w:pPr>
        <w:jc w:val="both"/>
      </w:pPr>
    </w:p>
    <w:p w:rsidR="002418E8" w:rsidRDefault="002418E8" w:rsidP="007E2945">
      <w:pPr>
        <w:jc w:val="both"/>
      </w:pPr>
      <w:r>
        <w:t xml:space="preserve">Since the meeting additional data has been supplied by the </w:t>
      </w:r>
      <w:r w:rsidR="00F97BFA">
        <w:t xml:space="preserve">processor and this data </w:t>
      </w:r>
      <w:r w:rsidR="002A038A">
        <w:t>has been passed onto John Garvey.</w:t>
      </w:r>
      <w:r w:rsidR="00F97BFA">
        <w:t xml:space="preserve"> </w:t>
      </w:r>
      <w:r w:rsidR="002A038A">
        <w:t>This data is aggregated by financial year</w:t>
      </w:r>
      <w:r w:rsidR="00EA3AAD">
        <w:t xml:space="preserve"> for 2013/14 and 2014/15 but has been supplied </w:t>
      </w:r>
      <w:r w:rsidR="002A038A">
        <w:t>on a monthly basis since July 2015.</w:t>
      </w:r>
      <w:r>
        <w:t xml:space="preserve"> </w:t>
      </w:r>
      <w:r w:rsidR="00F60CEA">
        <w:t xml:space="preserve">While </w:t>
      </w:r>
      <w:r w:rsidR="00EA3AAD">
        <w:t>these aggregate data allow compilation</w:t>
      </w:r>
      <w:r w:rsidR="00F60CEA">
        <w:t xml:space="preserve"> of annual catch statistics for the TIB sector, unfortunately there is no effort or related location data associated with the catch data which means that this data cannot be used for CPUE analyses and calculation of annual abundance indices. As these catches represent a significant portion of the total annul catch this presents an ongoing problem. </w:t>
      </w:r>
    </w:p>
    <w:p w:rsidR="00EA275E" w:rsidRDefault="00EA275E" w:rsidP="00EA275E">
      <w:pPr>
        <w:jc w:val="both"/>
      </w:pPr>
    </w:p>
    <w:p w:rsidR="00EA275E" w:rsidRPr="006F55CE" w:rsidRDefault="00EA275E" w:rsidP="00EA275E">
      <w:pPr>
        <w:pStyle w:val="ListParagraph"/>
        <w:spacing w:after="120"/>
        <w:ind w:left="0"/>
        <w:contextualSpacing w:val="0"/>
        <w:jc w:val="both"/>
        <w:rPr>
          <w:i/>
        </w:rPr>
      </w:pPr>
      <w:r>
        <w:rPr>
          <w:i/>
        </w:rPr>
        <w:t>Docket-book data fields</w:t>
      </w:r>
    </w:p>
    <w:p w:rsidR="00783D2B" w:rsidRDefault="00236332" w:rsidP="000A3731">
      <w:pPr>
        <w:pStyle w:val="ListParagraph"/>
        <w:spacing w:after="120"/>
        <w:ind w:left="0"/>
        <w:contextualSpacing w:val="0"/>
        <w:jc w:val="both"/>
      </w:pPr>
      <w:r>
        <w:t>Given the duplication of catch information from both the TVH sector and processors which occurs in the docket-book data, in the past several filters have been applied to this data to remove possible duplicates. The meeting spent s</w:t>
      </w:r>
      <w:r w:rsidR="007221AE">
        <w:t xml:space="preserve">ome time </w:t>
      </w:r>
      <w:r>
        <w:t>discussing the filters being applied by the CSIRO project team to ensure that they were consistent with those being used by AFMA. In particular, some time was spent gaining</w:t>
      </w:r>
      <w:r w:rsidR="007221AE">
        <w:t xml:space="preserve"> a mutual understanding on how </w:t>
      </w:r>
      <w:r>
        <w:t>some</w:t>
      </w:r>
      <w:r w:rsidR="007221AE">
        <w:t xml:space="preserve"> of the data fields in the </w:t>
      </w:r>
      <w:r>
        <w:t xml:space="preserve">Docket-Book </w:t>
      </w:r>
      <w:r w:rsidR="007221AE">
        <w:t xml:space="preserve">data provided to CSIRO should be interpreted as there is no existing explanatory notes for these </w:t>
      </w:r>
      <w:r>
        <w:t>fields</w:t>
      </w:r>
      <w:r w:rsidR="007221AE">
        <w:t xml:space="preserve">. </w:t>
      </w:r>
      <w:r w:rsidR="000C3D4F">
        <w:t>Particularly, several field</w:t>
      </w:r>
      <w:r>
        <w:t>s</w:t>
      </w:r>
      <w:r w:rsidR="000C3D4F">
        <w:t xml:space="preserve"> can be used to help identify non-TIB or duplicate catch records. For example:</w:t>
      </w:r>
    </w:p>
    <w:p w:rsidR="00EA3AAD" w:rsidRDefault="00EA3AAD" w:rsidP="00CF7731">
      <w:pPr>
        <w:pStyle w:val="ListParagraph"/>
        <w:numPr>
          <w:ilvl w:val="0"/>
          <w:numId w:val="8"/>
        </w:numPr>
        <w:spacing w:after="120"/>
        <w:ind w:left="568" w:hanging="284"/>
        <w:contextualSpacing w:val="0"/>
        <w:jc w:val="both"/>
      </w:pPr>
      <w:r>
        <w:t xml:space="preserve">Seller-Name: It was acknowledged that these names are often misspelt or that nicknames are sometimes used. </w:t>
      </w:r>
      <w:r w:rsidR="00FC1A44">
        <w:t>The meeting noted</w:t>
      </w:r>
      <w:r>
        <w:t xml:space="preserve"> that the TIB-Workshop held in November 2015 had spent </w:t>
      </w:r>
      <w:r w:rsidR="00FC1A44">
        <w:t xml:space="preserve">considerable </w:t>
      </w:r>
      <w:r>
        <w:t xml:space="preserve">time </w:t>
      </w:r>
      <w:r w:rsidR="00FC1A44">
        <w:t xml:space="preserve">attempting to </w:t>
      </w:r>
      <w:r>
        <w:t>‘</w:t>
      </w:r>
      <w:r w:rsidR="00FC1A44">
        <w:t>clean</w:t>
      </w:r>
      <w:r>
        <w:t>’ these names</w:t>
      </w:r>
      <w:r w:rsidR="00FC1A44">
        <w:t xml:space="preserve"> with the result that the number of unique names in the database had been considerably reduced</w:t>
      </w:r>
      <w:r>
        <w:t>.</w:t>
      </w:r>
    </w:p>
    <w:p w:rsidR="00783D2B" w:rsidRDefault="00783D2B" w:rsidP="00CF7731">
      <w:pPr>
        <w:pStyle w:val="ListParagraph"/>
        <w:numPr>
          <w:ilvl w:val="0"/>
          <w:numId w:val="8"/>
        </w:numPr>
        <w:spacing w:after="120"/>
        <w:ind w:left="568" w:hanging="284"/>
        <w:contextualSpacing w:val="0"/>
        <w:jc w:val="both"/>
      </w:pPr>
      <w:r>
        <w:t xml:space="preserve">Seller-Type. </w:t>
      </w:r>
      <w:r w:rsidR="00E27A44">
        <w:t xml:space="preserve">This field is </w:t>
      </w:r>
      <w:r w:rsidR="003452F7">
        <w:t>to be used</w:t>
      </w:r>
      <w:r w:rsidR="00E27A44">
        <w:t xml:space="preserve"> to indicate whether the seller is a TIB or TVH fisher or a processor. </w:t>
      </w:r>
      <w:r w:rsidR="003452F7">
        <w:t xml:space="preserve">It can be used to remove TVH and duplicate processor to processor data from the TIB data. </w:t>
      </w:r>
      <w:r w:rsidR="00E27A44">
        <w:t>However, a</w:t>
      </w:r>
      <w:r w:rsidR="00395CA3">
        <w:t xml:space="preserve"> high proportion of the entries in this field are Unknown. </w:t>
      </w:r>
      <w:r w:rsidR="00236332">
        <w:t>John Garvey explained that the</w:t>
      </w:r>
      <w:r>
        <w:t xml:space="preserve"> </w:t>
      </w:r>
      <w:r w:rsidR="00395CA3">
        <w:t xml:space="preserve">data </w:t>
      </w:r>
      <w:r>
        <w:t>field was set up around 2006 with the assistance of Annabel</w:t>
      </w:r>
      <w:r w:rsidR="00E962EF">
        <w:t xml:space="preserve"> Jones. It was based </w:t>
      </w:r>
      <w:r>
        <w:t xml:space="preserve">on linking the seller-name </w:t>
      </w:r>
      <w:r w:rsidR="00E962EF">
        <w:t>on the Docket-Book to the seller-type</w:t>
      </w:r>
      <w:r>
        <w:t xml:space="preserve"> </w:t>
      </w:r>
      <w:r w:rsidR="00E962EF">
        <w:t xml:space="preserve">(TIB, TVH, </w:t>
      </w:r>
      <w:proofErr w:type="gramStart"/>
      <w:r w:rsidR="00E962EF">
        <w:t>Processor</w:t>
      </w:r>
      <w:proofErr w:type="gramEnd"/>
      <w:r w:rsidR="00E962EF">
        <w:t xml:space="preserve">) </w:t>
      </w:r>
      <w:r>
        <w:t>in a look-up table</w:t>
      </w:r>
      <w:r w:rsidR="00E962EF">
        <w:t xml:space="preserve">. However, the list of names and seller-types has </w:t>
      </w:r>
      <w:r w:rsidR="00395CA3">
        <w:t xml:space="preserve">not </w:t>
      </w:r>
      <w:r w:rsidR="00E962EF">
        <w:t xml:space="preserve">been kept up to date, and together with the </w:t>
      </w:r>
      <w:r w:rsidR="003452F7">
        <w:t xml:space="preserve">fact that the </w:t>
      </w:r>
      <w:r w:rsidR="00E962EF">
        <w:t xml:space="preserve">seller-names </w:t>
      </w:r>
      <w:r w:rsidR="003452F7">
        <w:t xml:space="preserve">are </w:t>
      </w:r>
      <w:r w:rsidR="000A3731">
        <w:t>often mis</w:t>
      </w:r>
      <w:r w:rsidR="00E962EF">
        <w:t>spelt</w:t>
      </w:r>
      <w:r w:rsidR="00180FBC">
        <w:t xml:space="preserve"> or a </w:t>
      </w:r>
      <w:r w:rsidR="003452F7">
        <w:t>nick-name is used</w:t>
      </w:r>
      <w:r w:rsidR="00E962EF">
        <w:t>, the Seller-Type most often remains unknown.</w:t>
      </w:r>
      <w:r w:rsidR="000A3731">
        <w:t xml:space="preserve"> This reduces the utility of this data field to identify the seller-type.</w:t>
      </w:r>
    </w:p>
    <w:p w:rsidR="0031070B" w:rsidRDefault="00634F31" w:rsidP="00CF7731">
      <w:pPr>
        <w:pStyle w:val="ListParagraph"/>
        <w:numPr>
          <w:ilvl w:val="0"/>
          <w:numId w:val="8"/>
        </w:numPr>
        <w:spacing w:after="120"/>
        <w:ind w:left="568" w:hanging="284"/>
        <w:contextualSpacing w:val="0"/>
        <w:jc w:val="both"/>
      </w:pPr>
      <w:r>
        <w:t xml:space="preserve">Related-Log. </w:t>
      </w:r>
      <w:r w:rsidR="0051785A">
        <w:t xml:space="preserve">This field is used to indicate whether the catch has been recorded elsewhere, </w:t>
      </w:r>
      <w:r w:rsidR="000A3731">
        <w:t>and if so records the type of logbook used</w:t>
      </w:r>
      <w:r w:rsidR="0051785A">
        <w:t xml:space="preserve">. There is a correlation with </w:t>
      </w:r>
      <w:r w:rsidR="007B3302">
        <w:t>Seller-</w:t>
      </w:r>
      <w:r w:rsidR="007B3302">
        <w:lastRenderedPageBreak/>
        <w:t>Type above, as many TVH s</w:t>
      </w:r>
      <w:r w:rsidR="0051785A">
        <w:t xml:space="preserve">ellers indicate that the catch has been recorded in the TRL04 logbook while sellers identified as processors have indicated that the catch has been recorded in the TDB01 docket-book. </w:t>
      </w:r>
      <w:r w:rsidR="007B3302">
        <w:t xml:space="preserve">In this instances the catches can be separated from the TIB catch data. Where this field is null it can be interpreted that the catch data has not been recorded elsewhere and as such is TIB data. However, </w:t>
      </w:r>
      <w:r w:rsidR="0031070B">
        <w:t xml:space="preserve">there are a range of other entries in this field (e.g. HC01, HC02, NSS BESI, </w:t>
      </w:r>
      <w:proofErr w:type="spellStart"/>
      <w:r w:rsidR="0031070B">
        <w:t>etc</w:t>
      </w:r>
      <w:proofErr w:type="spellEnd"/>
      <w:r w:rsidR="0031070B">
        <w:t>) associated with an Unknown Seller-Type for which the character of the data remains uncertain.</w:t>
      </w:r>
    </w:p>
    <w:p w:rsidR="007221AE" w:rsidRDefault="0031070B" w:rsidP="00EA275E">
      <w:pPr>
        <w:pStyle w:val="ListParagraph"/>
        <w:numPr>
          <w:ilvl w:val="0"/>
          <w:numId w:val="8"/>
        </w:numPr>
        <w:ind w:left="567" w:hanging="283"/>
        <w:jc w:val="both"/>
      </w:pPr>
      <w:r>
        <w:t xml:space="preserve">Client-Name. </w:t>
      </w:r>
      <w:r w:rsidR="004F2C1F">
        <w:t xml:space="preserve">This is the name of the processor or person to whom the catch is sold. </w:t>
      </w:r>
    </w:p>
    <w:p w:rsidR="006D70D0" w:rsidRDefault="006D70D0" w:rsidP="00EA275E">
      <w:pPr>
        <w:jc w:val="both"/>
      </w:pPr>
    </w:p>
    <w:p w:rsidR="000A3731" w:rsidRDefault="000A3731" w:rsidP="00EA275E">
      <w:pPr>
        <w:jc w:val="both"/>
      </w:pPr>
      <w:r>
        <w:t>Given the better understanding of these fields it is hoped that the combination of the Seller-Type, the Related-Log together with the vessel symbol (with the symbol for most TVH vessels starting with an ‘F’) will enable a better means of identifying and removing non-TIB and duplicate records from the Docket-Book data.</w:t>
      </w:r>
    </w:p>
    <w:p w:rsidR="000A3731" w:rsidRDefault="000A3731" w:rsidP="00EA275E">
      <w:pPr>
        <w:jc w:val="both"/>
      </w:pPr>
    </w:p>
    <w:p w:rsidR="005A6293" w:rsidRPr="0057031A" w:rsidRDefault="0057031A" w:rsidP="0057031A">
      <w:pPr>
        <w:spacing w:after="120"/>
        <w:jc w:val="both"/>
        <w:rPr>
          <w:i/>
          <w:color w:val="000000" w:themeColor="text1"/>
        </w:rPr>
      </w:pPr>
      <w:r w:rsidRPr="0057031A">
        <w:rPr>
          <w:i/>
          <w:color w:val="000000" w:themeColor="text1"/>
        </w:rPr>
        <w:t xml:space="preserve">Multiple TIB </w:t>
      </w:r>
      <w:r w:rsidR="007816AC">
        <w:rPr>
          <w:i/>
          <w:color w:val="000000" w:themeColor="text1"/>
        </w:rPr>
        <w:t>Record-Numbers for same vessel, seller, day</w:t>
      </w:r>
      <w:r w:rsidRPr="0057031A">
        <w:rPr>
          <w:i/>
          <w:color w:val="000000" w:themeColor="text1"/>
        </w:rPr>
        <w:t>.</w:t>
      </w:r>
    </w:p>
    <w:p w:rsidR="001613B8" w:rsidRDefault="0057031A" w:rsidP="007E2945">
      <w:pPr>
        <w:jc w:val="both"/>
        <w:rPr>
          <w:color w:val="000000" w:themeColor="text1"/>
        </w:rPr>
      </w:pPr>
      <w:r>
        <w:rPr>
          <w:color w:val="000000" w:themeColor="text1"/>
        </w:rPr>
        <w:t>T</w:t>
      </w:r>
      <w:r w:rsidR="001613B8" w:rsidRPr="001613B8">
        <w:rPr>
          <w:color w:val="000000" w:themeColor="text1"/>
        </w:rPr>
        <w:t>he str</w:t>
      </w:r>
      <w:r>
        <w:rPr>
          <w:color w:val="000000" w:themeColor="text1"/>
        </w:rPr>
        <w:t xml:space="preserve">ucture of the docket-book data </w:t>
      </w:r>
      <w:r w:rsidR="001613B8" w:rsidRPr="001613B8">
        <w:rPr>
          <w:color w:val="000000" w:themeColor="text1"/>
        </w:rPr>
        <w:t>indicate</w:t>
      </w:r>
      <w:r>
        <w:rPr>
          <w:color w:val="000000" w:themeColor="text1"/>
        </w:rPr>
        <w:t>s</w:t>
      </w:r>
      <w:r w:rsidR="001613B8" w:rsidRPr="001613B8">
        <w:rPr>
          <w:color w:val="000000" w:themeColor="text1"/>
        </w:rPr>
        <w:t xml:space="preserve"> that there should be a unique Record-No for ea</w:t>
      </w:r>
      <w:r>
        <w:rPr>
          <w:color w:val="000000" w:themeColor="text1"/>
        </w:rPr>
        <w:t>ch vessel, date and seller-name. H</w:t>
      </w:r>
      <w:r w:rsidR="001613B8" w:rsidRPr="001613B8">
        <w:rPr>
          <w:color w:val="000000" w:themeColor="text1"/>
        </w:rPr>
        <w:t>owever, investigation of the data indicates that there are often multiple Record-Nos associated for a given vessel, date and seller-name. The reason for these mul</w:t>
      </w:r>
      <w:r w:rsidR="00FC1A44">
        <w:rPr>
          <w:color w:val="000000" w:themeColor="text1"/>
        </w:rPr>
        <w:t>tiple records remained</w:t>
      </w:r>
      <w:r w:rsidR="001613B8">
        <w:rPr>
          <w:color w:val="000000" w:themeColor="text1"/>
        </w:rPr>
        <w:t xml:space="preserve"> unknown. </w:t>
      </w:r>
      <w:r w:rsidR="005130F2">
        <w:rPr>
          <w:color w:val="000000" w:themeColor="text1"/>
        </w:rPr>
        <w:t>S</w:t>
      </w:r>
      <w:r w:rsidR="001613B8" w:rsidRPr="001613B8">
        <w:rPr>
          <w:color w:val="000000" w:themeColor="text1"/>
        </w:rPr>
        <w:t>ome examples where all of the TIB data records associated with a single vessel and a single date are shown</w:t>
      </w:r>
      <w:r w:rsidR="00FC1A44">
        <w:rPr>
          <w:color w:val="000000" w:themeColor="text1"/>
        </w:rPr>
        <w:t xml:space="preserve"> in Table 2</w:t>
      </w:r>
      <w:r w:rsidR="001613B8" w:rsidRPr="001613B8">
        <w:rPr>
          <w:color w:val="000000" w:themeColor="text1"/>
        </w:rPr>
        <w:t xml:space="preserve">. There are multiple </w:t>
      </w:r>
    </w:p>
    <w:p w:rsidR="001613B8" w:rsidRDefault="001613B8" w:rsidP="007E2945">
      <w:pPr>
        <w:jc w:val="both"/>
        <w:rPr>
          <w:color w:val="000000" w:themeColor="text1"/>
        </w:rPr>
      </w:pPr>
    </w:p>
    <w:p w:rsidR="0013037B" w:rsidRPr="0013037B" w:rsidRDefault="0013037B" w:rsidP="0013037B">
      <w:pPr>
        <w:spacing w:after="120"/>
        <w:jc w:val="both"/>
      </w:pPr>
      <w:r>
        <w:t>Table 2. An example of the TIB data showing all records associated with a single vessel and a single date. For each seller there are multiple Record-Nos and for each Record-No there are multiple catch record, several for the same method, process-type and grade.</w:t>
      </w:r>
    </w:p>
    <w:p w:rsidR="005130F2" w:rsidRDefault="005130F2" w:rsidP="0013037B">
      <w:pPr>
        <w:jc w:val="center"/>
      </w:pPr>
      <w:r w:rsidRPr="00C75EFE">
        <w:rPr>
          <w:noProof/>
        </w:rPr>
        <w:drawing>
          <wp:inline distT="0" distB="0" distL="0" distR="0" wp14:anchorId="57E4A0E3" wp14:editId="78FD05F2">
            <wp:extent cx="5731510" cy="4265747"/>
            <wp:effectExtent l="0" t="0" r="254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265747"/>
                    </a:xfrm>
                    <a:prstGeom prst="rect">
                      <a:avLst/>
                    </a:prstGeom>
                    <a:noFill/>
                    <a:ln>
                      <a:noFill/>
                    </a:ln>
                  </pic:spPr>
                </pic:pic>
              </a:graphicData>
            </a:graphic>
          </wp:inline>
        </w:drawing>
      </w:r>
    </w:p>
    <w:p w:rsidR="0013037B" w:rsidRDefault="0013037B" w:rsidP="0013037B">
      <w:pPr>
        <w:jc w:val="both"/>
        <w:rPr>
          <w:color w:val="000000" w:themeColor="text1"/>
        </w:rPr>
      </w:pPr>
      <w:proofErr w:type="gramStart"/>
      <w:r w:rsidRPr="001613B8">
        <w:rPr>
          <w:color w:val="000000" w:themeColor="text1"/>
        </w:rPr>
        <w:lastRenderedPageBreak/>
        <w:t>records</w:t>
      </w:r>
      <w:proofErr w:type="gramEnd"/>
      <w:r w:rsidRPr="001613B8">
        <w:rPr>
          <w:color w:val="000000" w:themeColor="text1"/>
        </w:rPr>
        <w:t xml:space="preserve"> for three sellers and a number of questions arise. For example, why there are multiple catch records pertaining to the same process-type and grade of lobsters for a single Record-No? Why are there multiple Record-Nos for the same seller for the same vessel-date? Finally, why are the days-fished different for several of the Record-Nos for the same seller? </w:t>
      </w:r>
    </w:p>
    <w:p w:rsidR="005130F2" w:rsidRDefault="005130F2" w:rsidP="005130F2"/>
    <w:p w:rsidR="00FC1A44" w:rsidRPr="007126F2" w:rsidRDefault="00FC1A44" w:rsidP="00FC1A44">
      <w:pPr>
        <w:jc w:val="both"/>
      </w:pPr>
      <w:r>
        <w:t>The original completed paper docket-book sheets for</w:t>
      </w:r>
      <w:r w:rsidR="0013037B">
        <w:t xml:space="preserve"> the Record-Nos shown in Table 2</w:t>
      </w:r>
      <w:r>
        <w:t xml:space="preserve"> were examined by the meeting. Whilst it was difficult to reach a definitive conclusion, the meeting was of the opinion that the dates associated with these docket-book forms were most likely not correct. This was based on the observation that the style of writing across all the sheets examined was also identical which indicated that the same person had completed all forms using the same pen on the same day. If this is the case then there does not appear to be any mechanism for correcting these historical data.  </w:t>
      </w:r>
    </w:p>
    <w:p w:rsidR="00FC1A44" w:rsidRDefault="00FC1A44" w:rsidP="00FC1A44">
      <w:pPr>
        <w:jc w:val="both"/>
        <w:rPr>
          <w:color w:val="000000" w:themeColor="text1"/>
        </w:rPr>
      </w:pPr>
    </w:p>
    <w:p w:rsidR="00140DE4" w:rsidRDefault="00B85923" w:rsidP="00B85923">
      <w:pPr>
        <w:jc w:val="both"/>
      </w:pPr>
      <w:r>
        <w:t>The meeting also noted that there was missing Docket-Book pages associated with the original sheets examined</w:t>
      </w:r>
      <w:r w:rsidR="007B3315">
        <w:t xml:space="preserve"> associated with the series of Record-Nos listed in Table 2</w:t>
      </w:r>
      <w:r>
        <w:t>. This would seem to indicate that perhaps not all Docket-Book sheets are returned to AFMA.</w:t>
      </w:r>
      <w:r w:rsidR="007B3315">
        <w:t xml:space="preserve"> How large this problem may have been in the past (and may continue to be) and what catches </w:t>
      </w:r>
      <w:r w:rsidR="00F64361">
        <w:t>may</w:t>
      </w:r>
      <w:r w:rsidR="007B3315">
        <w:t xml:space="preserve"> be associated with these missing sheets </w:t>
      </w:r>
      <w:r w:rsidR="00F64361">
        <w:t xml:space="preserve">(and which are not being captured in the data held by AFMA) </w:t>
      </w:r>
      <w:r w:rsidR="007B3315">
        <w:t>also remains unknown.</w:t>
      </w:r>
      <w:r>
        <w:t xml:space="preserve"> </w:t>
      </w:r>
    </w:p>
    <w:p w:rsidR="00140DE4" w:rsidRDefault="00140DE4" w:rsidP="005130F2"/>
    <w:p w:rsidR="00140DE4" w:rsidRPr="006F55CE" w:rsidRDefault="00140DE4" w:rsidP="00140DE4">
      <w:pPr>
        <w:pStyle w:val="ListParagraph"/>
        <w:spacing w:after="120"/>
        <w:ind w:left="0"/>
        <w:contextualSpacing w:val="0"/>
        <w:jc w:val="both"/>
        <w:rPr>
          <w:i/>
        </w:rPr>
      </w:pPr>
      <w:r>
        <w:rPr>
          <w:i/>
        </w:rPr>
        <w:t>F-Vessels listing catches in both the Logbook and Docket-book</w:t>
      </w:r>
    </w:p>
    <w:p w:rsidR="00140DE4" w:rsidRDefault="00140DE4" w:rsidP="00140DE4">
      <w:pPr>
        <w:jc w:val="both"/>
        <w:rPr>
          <w:color w:val="000000"/>
        </w:rPr>
      </w:pPr>
      <w:r>
        <w:t xml:space="preserve">In recent years a number of F-vessels (i.e. those vessels having a registration symbol beginning with F) have had catches recorded in both the TVH-logbook and the TIB-docket-book. It is assumed that F-vessels relate to vessels operating in the TVH sector and so catches for such vessels found in the TIB docket-book have been assumed to be duplicates of those recorded in the logbook. </w:t>
      </w:r>
      <w:r w:rsidRPr="00A70F30">
        <w:t xml:space="preserve">However, upon closer inspection </w:t>
      </w:r>
      <w:r w:rsidRPr="00A70F30">
        <w:rPr>
          <w:color w:val="000000"/>
        </w:rPr>
        <w:t xml:space="preserve">the date/catch </w:t>
      </w:r>
      <w:r>
        <w:rPr>
          <w:color w:val="000000"/>
        </w:rPr>
        <w:t>listed in the docket-book</w:t>
      </w:r>
      <w:r w:rsidRPr="00A70F30">
        <w:rPr>
          <w:color w:val="000000"/>
        </w:rPr>
        <w:t xml:space="preserve"> relate to dates for which there was no corresponding catch recorded in the TVH logbook. So one wonders whether these are additional TVH catches </w:t>
      </w:r>
      <w:r>
        <w:rPr>
          <w:color w:val="000000"/>
        </w:rPr>
        <w:t>recorded in the docket-book but not in the l</w:t>
      </w:r>
      <w:r w:rsidRPr="00A70F30">
        <w:rPr>
          <w:color w:val="000000"/>
        </w:rPr>
        <w:t xml:space="preserve">ogbook. Note, however, for some vessels there are sometimes catches for a given date recorded in both books (adding to the mystery). </w:t>
      </w:r>
    </w:p>
    <w:p w:rsidR="00140DE4" w:rsidRDefault="00140DE4" w:rsidP="00140DE4">
      <w:pPr>
        <w:jc w:val="both"/>
        <w:rPr>
          <w:color w:val="000000"/>
        </w:rPr>
      </w:pPr>
    </w:p>
    <w:p w:rsidR="00140DE4" w:rsidRPr="005A6293" w:rsidRDefault="00140DE4" w:rsidP="00140DE4">
      <w:pPr>
        <w:jc w:val="both"/>
        <w:rPr>
          <w:color w:val="000000" w:themeColor="text1"/>
        </w:rPr>
      </w:pPr>
      <w:r>
        <w:rPr>
          <w:color w:val="000000" w:themeColor="text1"/>
        </w:rPr>
        <w:t xml:space="preserve">A listing of the logbook and docket-book data for the eight vessels which had joint log entries in 2013 was prepared and sent to Dean Pease who has since </w:t>
      </w:r>
      <w:r w:rsidRPr="005A6293">
        <w:rPr>
          <w:color w:val="000000" w:themeColor="text1"/>
        </w:rPr>
        <w:t>followed this issue up with one of the operators</w:t>
      </w:r>
      <w:r>
        <w:rPr>
          <w:color w:val="000000" w:themeColor="text1"/>
        </w:rPr>
        <w:t>.</w:t>
      </w:r>
      <w:r w:rsidRPr="005A6293">
        <w:rPr>
          <w:color w:val="000000" w:themeColor="text1"/>
        </w:rPr>
        <w:t xml:space="preserve"> </w:t>
      </w:r>
      <w:r>
        <w:rPr>
          <w:color w:val="000000" w:themeColor="text1"/>
        </w:rPr>
        <w:t>This operator stated that the</w:t>
      </w:r>
      <w:r w:rsidRPr="005A6293">
        <w:rPr>
          <w:color w:val="000000" w:themeColor="text1"/>
        </w:rPr>
        <w:t xml:space="preserve"> docket-book </w:t>
      </w:r>
      <w:r>
        <w:rPr>
          <w:color w:val="000000" w:themeColor="text1"/>
        </w:rPr>
        <w:t>catches</w:t>
      </w:r>
      <w:r w:rsidRPr="005A6293">
        <w:rPr>
          <w:color w:val="000000" w:themeColor="text1"/>
        </w:rPr>
        <w:t xml:space="preserve"> </w:t>
      </w:r>
      <w:r>
        <w:rPr>
          <w:color w:val="000000" w:themeColor="text1"/>
        </w:rPr>
        <w:t>related to</w:t>
      </w:r>
      <w:r w:rsidRPr="005A6293">
        <w:rPr>
          <w:color w:val="000000" w:themeColor="text1"/>
        </w:rPr>
        <w:t xml:space="preserve"> lobster</w:t>
      </w:r>
      <w:r w:rsidR="006E6E3C">
        <w:rPr>
          <w:color w:val="000000" w:themeColor="text1"/>
        </w:rPr>
        <w:t>s</w:t>
      </w:r>
      <w:r w:rsidRPr="005A6293">
        <w:rPr>
          <w:color w:val="000000" w:themeColor="text1"/>
        </w:rPr>
        <w:t xml:space="preserve"> that were a mortality in the cage and then tailed and sold to a processor</w:t>
      </w:r>
      <w:r w:rsidR="006E6E3C">
        <w:rPr>
          <w:color w:val="000000" w:themeColor="text1"/>
        </w:rPr>
        <w:t xml:space="preserve"> on Thursday Island</w:t>
      </w:r>
      <w:r w:rsidRPr="005A6293">
        <w:rPr>
          <w:color w:val="000000" w:themeColor="text1"/>
        </w:rPr>
        <w:t>, while l</w:t>
      </w:r>
      <w:r>
        <w:rPr>
          <w:color w:val="000000" w:themeColor="text1"/>
        </w:rPr>
        <w:t>ive lobster</w:t>
      </w:r>
      <w:r w:rsidR="006E6E3C">
        <w:rPr>
          <w:color w:val="000000" w:themeColor="text1"/>
        </w:rPr>
        <w:t>s</w:t>
      </w:r>
      <w:r>
        <w:rPr>
          <w:color w:val="000000" w:themeColor="text1"/>
        </w:rPr>
        <w:t xml:space="preserve"> was sold direct to </w:t>
      </w:r>
      <w:r w:rsidR="006E6E3C">
        <w:rPr>
          <w:color w:val="000000" w:themeColor="text1"/>
        </w:rPr>
        <w:t>a processor in Cairns</w:t>
      </w:r>
      <w:r w:rsidRPr="005A6293">
        <w:rPr>
          <w:color w:val="000000" w:themeColor="text1"/>
        </w:rPr>
        <w:t xml:space="preserve"> and therefore no docket-book was filled out. The figures were quite high because </w:t>
      </w:r>
      <w:r>
        <w:rPr>
          <w:color w:val="000000" w:themeColor="text1"/>
        </w:rPr>
        <w:t xml:space="preserve">the operator </w:t>
      </w:r>
      <w:r w:rsidRPr="005A6293">
        <w:rPr>
          <w:color w:val="000000" w:themeColor="text1"/>
        </w:rPr>
        <w:t xml:space="preserve">reported that his first cages had poor water circulation </w:t>
      </w:r>
      <w:r>
        <w:rPr>
          <w:color w:val="000000" w:themeColor="text1"/>
        </w:rPr>
        <w:t xml:space="preserve">but since 2013 the cages have </w:t>
      </w:r>
      <w:bookmarkStart w:id="0" w:name="_GoBack"/>
      <w:bookmarkEnd w:id="0"/>
      <w:r>
        <w:rPr>
          <w:color w:val="000000" w:themeColor="text1"/>
        </w:rPr>
        <w:t>been</w:t>
      </w:r>
      <w:r w:rsidRPr="005A6293">
        <w:rPr>
          <w:color w:val="000000" w:themeColor="text1"/>
        </w:rPr>
        <w:t xml:space="preserve"> modified resulting in reduced mortality.</w:t>
      </w:r>
      <w:r>
        <w:rPr>
          <w:color w:val="000000" w:themeColor="text1"/>
        </w:rPr>
        <w:t xml:space="preserve"> Dean was to follow up with some of the other operators. However, if the reasoning is similar for these other operators then the catches recorded in the docket-book for these TVH vessels need to be added to the related catches recorded in the logbook. </w:t>
      </w:r>
    </w:p>
    <w:p w:rsidR="00140DE4" w:rsidRDefault="00140DE4" w:rsidP="005130F2"/>
    <w:p w:rsidR="00360C10" w:rsidRPr="0057031A" w:rsidRDefault="00360C10" w:rsidP="00360C10">
      <w:pPr>
        <w:spacing w:after="120"/>
        <w:jc w:val="both"/>
        <w:rPr>
          <w:i/>
          <w:color w:val="000000" w:themeColor="text1"/>
        </w:rPr>
      </w:pPr>
      <w:r>
        <w:rPr>
          <w:i/>
          <w:color w:val="000000" w:themeColor="text1"/>
        </w:rPr>
        <w:t>Additional data relating to the TSRL</w:t>
      </w:r>
      <w:r w:rsidRPr="0057031A">
        <w:rPr>
          <w:i/>
          <w:color w:val="000000" w:themeColor="text1"/>
        </w:rPr>
        <w:t>.</w:t>
      </w:r>
    </w:p>
    <w:p w:rsidR="002618F1" w:rsidRDefault="00360C10" w:rsidP="007E2945">
      <w:pPr>
        <w:jc w:val="both"/>
        <w:rPr>
          <w:color w:val="000000" w:themeColor="text1"/>
        </w:rPr>
      </w:pPr>
      <w:r>
        <w:rPr>
          <w:color w:val="000000" w:themeColor="text1"/>
        </w:rPr>
        <w:t>John Garvey inform</w:t>
      </w:r>
      <w:r w:rsidR="002618F1">
        <w:rPr>
          <w:color w:val="000000" w:themeColor="text1"/>
        </w:rPr>
        <w:t>ed</w:t>
      </w:r>
      <w:r>
        <w:rPr>
          <w:color w:val="000000" w:themeColor="text1"/>
        </w:rPr>
        <w:t xml:space="preserve"> the meeting that several historical data sets are available for the fishery and are stored in the AFMA data warehouse of which CSIRO has a c</w:t>
      </w:r>
      <w:r w:rsidR="002618F1">
        <w:rPr>
          <w:color w:val="000000" w:themeColor="text1"/>
        </w:rPr>
        <w:t>opy. A subsequent query of the CSIRO database indicates data in the following database tables</w:t>
      </w:r>
      <w:r w:rsidR="00A30368">
        <w:rPr>
          <w:color w:val="000000" w:themeColor="text1"/>
        </w:rPr>
        <w:t xml:space="preserve"> are</w:t>
      </w:r>
      <w:r w:rsidR="002618F1">
        <w:rPr>
          <w:color w:val="000000" w:themeColor="text1"/>
        </w:rPr>
        <w:t xml:space="preserve"> available:</w:t>
      </w:r>
    </w:p>
    <w:p w:rsidR="002618F1" w:rsidRDefault="002618F1" w:rsidP="007E2945">
      <w:pPr>
        <w:jc w:val="both"/>
        <w:rPr>
          <w:color w:val="000000" w:themeColor="text1"/>
        </w:rPr>
      </w:pPr>
    </w:p>
    <w:p w:rsidR="002618F1" w:rsidRDefault="002618F1" w:rsidP="002618F1">
      <w:pPr>
        <w:jc w:val="center"/>
        <w:rPr>
          <w:color w:val="000000" w:themeColor="text1"/>
        </w:rPr>
      </w:pPr>
      <w:r w:rsidRPr="002618F1">
        <w:rPr>
          <w:noProof/>
        </w:rPr>
        <w:lastRenderedPageBreak/>
        <w:drawing>
          <wp:inline distT="0" distB="0" distL="0" distR="0">
            <wp:extent cx="4248150" cy="1724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8150" cy="1724025"/>
                    </a:xfrm>
                    <a:prstGeom prst="rect">
                      <a:avLst/>
                    </a:prstGeom>
                    <a:noFill/>
                    <a:ln>
                      <a:noFill/>
                    </a:ln>
                  </pic:spPr>
                </pic:pic>
              </a:graphicData>
            </a:graphic>
          </wp:inline>
        </w:drawing>
      </w:r>
    </w:p>
    <w:p w:rsidR="002618F1" w:rsidRDefault="002618F1" w:rsidP="007E2945">
      <w:pPr>
        <w:jc w:val="both"/>
        <w:rPr>
          <w:color w:val="000000" w:themeColor="text1"/>
        </w:rPr>
      </w:pPr>
    </w:p>
    <w:p w:rsidR="00360C10" w:rsidRDefault="002618F1" w:rsidP="007E2945">
      <w:pPr>
        <w:jc w:val="both"/>
        <w:rPr>
          <w:color w:val="000000" w:themeColor="text1"/>
        </w:rPr>
      </w:pPr>
      <w:r>
        <w:rPr>
          <w:color w:val="000000" w:themeColor="text1"/>
        </w:rPr>
        <w:t>These data sets relate to:</w:t>
      </w:r>
    </w:p>
    <w:p w:rsidR="002618F1" w:rsidRDefault="002618F1" w:rsidP="001A642C">
      <w:pPr>
        <w:pStyle w:val="ListParagraph"/>
        <w:numPr>
          <w:ilvl w:val="0"/>
          <w:numId w:val="7"/>
        </w:numPr>
        <w:spacing w:after="120"/>
        <w:ind w:left="1077" w:hanging="357"/>
        <w:contextualSpacing w:val="0"/>
        <w:jc w:val="both"/>
        <w:rPr>
          <w:color w:val="000000" w:themeColor="text1"/>
        </w:rPr>
      </w:pPr>
      <w:r>
        <w:rPr>
          <w:color w:val="000000" w:themeColor="text1"/>
        </w:rPr>
        <w:t xml:space="preserve"> Murr</w:t>
      </w:r>
      <w:r w:rsidR="004F0624">
        <w:rPr>
          <w:color w:val="000000" w:themeColor="text1"/>
        </w:rPr>
        <w:t>ay-</w:t>
      </w:r>
      <w:r>
        <w:rPr>
          <w:color w:val="000000" w:themeColor="text1"/>
        </w:rPr>
        <w:t xml:space="preserve">Island data. This is basically the </w:t>
      </w:r>
      <w:r w:rsidR="00A30368">
        <w:rPr>
          <w:color w:val="000000" w:themeColor="text1"/>
        </w:rPr>
        <w:t>TIB</w:t>
      </w:r>
      <w:r>
        <w:rPr>
          <w:color w:val="000000" w:themeColor="text1"/>
        </w:rPr>
        <w:t xml:space="preserve"> data for operations from Murray Island as this island is not covered in the </w:t>
      </w:r>
      <w:r w:rsidR="00A30368">
        <w:rPr>
          <w:color w:val="000000" w:themeColor="text1"/>
        </w:rPr>
        <w:t xml:space="preserve">TDB01 </w:t>
      </w:r>
      <w:r>
        <w:rPr>
          <w:color w:val="000000" w:themeColor="text1"/>
        </w:rPr>
        <w:t xml:space="preserve">Docket-Book data. The above table indicates data for 2004 and 2005. However, subsequent to the April meeting AFMA has updated this data and there is now data covering the years 2003 to 2010. </w:t>
      </w:r>
      <w:r w:rsidR="00BE5D0E">
        <w:rPr>
          <w:color w:val="000000" w:themeColor="text1"/>
        </w:rPr>
        <w:t>It is believed that there is no further data as the freezer on Murray Island closed in 2010.</w:t>
      </w:r>
    </w:p>
    <w:p w:rsidR="002618F1" w:rsidRDefault="002618F1" w:rsidP="001A642C">
      <w:pPr>
        <w:pStyle w:val="ListParagraph"/>
        <w:numPr>
          <w:ilvl w:val="0"/>
          <w:numId w:val="7"/>
        </w:numPr>
        <w:spacing w:after="120"/>
        <w:ind w:left="1077" w:hanging="357"/>
        <w:contextualSpacing w:val="0"/>
        <w:jc w:val="both"/>
        <w:rPr>
          <w:color w:val="000000" w:themeColor="text1"/>
        </w:rPr>
      </w:pPr>
      <w:r>
        <w:rPr>
          <w:color w:val="000000" w:themeColor="text1"/>
        </w:rPr>
        <w:t>Freezer data</w:t>
      </w:r>
      <w:r w:rsidR="00BE5D0E">
        <w:rPr>
          <w:color w:val="000000" w:themeColor="text1"/>
        </w:rPr>
        <w:t xml:space="preserve">: This is historical </w:t>
      </w:r>
      <w:r w:rsidR="00B92B53">
        <w:rPr>
          <w:color w:val="000000" w:themeColor="text1"/>
        </w:rPr>
        <w:t>TIB</w:t>
      </w:r>
      <w:r w:rsidR="00BE5D0E">
        <w:rPr>
          <w:color w:val="000000" w:themeColor="text1"/>
        </w:rPr>
        <w:t xml:space="preserve"> data </w:t>
      </w:r>
      <w:r w:rsidR="00FA2CE0">
        <w:rPr>
          <w:color w:val="000000" w:themeColor="text1"/>
        </w:rPr>
        <w:t xml:space="preserve">going back to 1996 </w:t>
      </w:r>
      <w:r w:rsidR="00BE5D0E">
        <w:rPr>
          <w:color w:val="000000" w:themeColor="text1"/>
        </w:rPr>
        <w:t xml:space="preserve">which precedes the </w:t>
      </w:r>
      <w:r w:rsidR="00A30368">
        <w:rPr>
          <w:color w:val="000000" w:themeColor="text1"/>
        </w:rPr>
        <w:t>coverage</w:t>
      </w:r>
      <w:r w:rsidR="00BE5D0E">
        <w:rPr>
          <w:color w:val="000000" w:themeColor="text1"/>
        </w:rPr>
        <w:t xml:space="preserve"> of the </w:t>
      </w:r>
      <w:r w:rsidR="00A30368">
        <w:rPr>
          <w:color w:val="000000" w:themeColor="text1"/>
        </w:rPr>
        <w:t>T</w:t>
      </w:r>
      <w:r w:rsidR="00FA69AF">
        <w:rPr>
          <w:color w:val="000000" w:themeColor="text1"/>
        </w:rPr>
        <w:t>DB01 Docket-book</w:t>
      </w:r>
      <w:r w:rsidR="00A30368">
        <w:rPr>
          <w:color w:val="000000" w:themeColor="text1"/>
        </w:rPr>
        <w:t xml:space="preserve"> data presently used and which begins</w:t>
      </w:r>
      <w:r w:rsidR="00FA69AF">
        <w:rPr>
          <w:color w:val="000000" w:themeColor="text1"/>
        </w:rPr>
        <w:t xml:space="preserve"> in 2004</w:t>
      </w:r>
      <w:r w:rsidR="00BE5D0E">
        <w:rPr>
          <w:color w:val="000000" w:themeColor="text1"/>
        </w:rPr>
        <w:t xml:space="preserve">. </w:t>
      </w:r>
      <w:r w:rsidR="00FA69AF">
        <w:rPr>
          <w:color w:val="000000" w:themeColor="text1"/>
        </w:rPr>
        <w:t xml:space="preserve">This data was compiled by Selina </w:t>
      </w:r>
      <w:proofErr w:type="spellStart"/>
      <w:r w:rsidR="00FA69AF">
        <w:rPr>
          <w:color w:val="000000" w:themeColor="text1"/>
        </w:rPr>
        <w:t>Stoute</w:t>
      </w:r>
      <w:proofErr w:type="spellEnd"/>
      <w:r w:rsidR="00FA69AF">
        <w:rPr>
          <w:color w:val="000000" w:themeColor="text1"/>
        </w:rPr>
        <w:t xml:space="preserve"> and she will be contacted to provide more details on the exact nature of this data and where the data was sourced from.</w:t>
      </w:r>
    </w:p>
    <w:p w:rsidR="00FA69AF" w:rsidRDefault="00FA69AF" w:rsidP="001A642C">
      <w:pPr>
        <w:pStyle w:val="ListParagraph"/>
        <w:numPr>
          <w:ilvl w:val="0"/>
          <w:numId w:val="7"/>
        </w:numPr>
        <w:spacing w:after="120"/>
        <w:ind w:left="1077" w:hanging="357"/>
        <w:contextualSpacing w:val="0"/>
        <w:jc w:val="both"/>
        <w:rPr>
          <w:color w:val="000000" w:themeColor="text1"/>
        </w:rPr>
      </w:pPr>
      <w:proofErr w:type="spellStart"/>
      <w:r>
        <w:rPr>
          <w:color w:val="000000" w:themeColor="text1"/>
        </w:rPr>
        <w:t>Operation</w:t>
      </w:r>
      <w:r w:rsidR="004F0624">
        <w:rPr>
          <w:color w:val="000000" w:themeColor="text1"/>
        </w:rPr>
        <w:t>_TSF</w:t>
      </w:r>
      <w:proofErr w:type="spellEnd"/>
      <w:r w:rsidR="004F0624">
        <w:rPr>
          <w:color w:val="000000" w:themeColor="text1"/>
        </w:rPr>
        <w:t xml:space="preserve"> and </w:t>
      </w:r>
      <w:proofErr w:type="spellStart"/>
      <w:r w:rsidR="004F0624">
        <w:rPr>
          <w:color w:val="000000" w:themeColor="text1"/>
        </w:rPr>
        <w:t>Catch_TSF</w:t>
      </w:r>
      <w:proofErr w:type="spellEnd"/>
      <w:r w:rsidR="004F0624">
        <w:rPr>
          <w:color w:val="000000" w:themeColor="text1"/>
        </w:rPr>
        <w:t xml:space="preserve"> data.</w:t>
      </w:r>
      <w:r w:rsidR="00473234">
        <w:rPr>
          <w:color w:val="000000" w:themeColor="text1"/>
        </w:rPr>
        <w:t xml:space="preserve"> These database table</w:t>
      </w:r>
      <w:r w:rsidR="004F0624">
        <w:rPr>
          <w:color w:val="000000" w:themeColor="text1"/>
        </w:rPr>
        <w:t xml:space="preserve"> </w:t>
      </w:r>
      <w:r w:rsidR="00473234">
        <w:rPr>
          <w:color w:val="000000" w:themeColor="text1"/>
        </w:rPr>
        <w:t>hold</w:t>
      </w:r>
      <w:r w:rsidR="004F0624">
        <w:rPr>
          <w:color w:val="000000" w:themeColor="text1"/>
        </w:rPr>
        <w:t xml:space="preserve"> </w:t>
      </w:r>
      <w:r w:rsidR="00263D52">
        <w:rPr>
          <w:color w:val="000000" w:themeColor="text1"/>
        </w:rPr>
        <w:t>TDB01 Docket-book catch and effort data with 99% of the data in the CSIRO database covering the three years 2004-2006. I</w:t>
      </w:r>
      <w:r w:rsidR="00473234">
        <w:rPr>
          <w:color w:val="000000" w:themeColor="text1"/>
        </w:rPr>
        <w:t>t is likely that this data is a</w:t>
      </w:r>
      <w:r w:rsidR="00263D52">
        <w:rPr>
          <w:color w:val="000000" w:themeColor="text1"/>
        </w:rPr>
        <w:t xml:space="preserve"> </w:t>
      </w:r>
      <w:r w:rsidR="00473234">
        <w:rPr>
          <w:color w:val="000000" w:themeColor="text1"/>
        </w:rPr>
        <w:t xml:space="preserve">duplicate </w:t>
      </w:r>
      <w:r w:rsidR="00263D52">
        <w:rPr>
          <w:color w:val="000000" w:themeColor="text1"/>
        </w:rPr>
        <w:t>copy of the Docket-Book data covering the</w:t>
      </w:r>
      <w:r w:rsidR="00473234">
        <w:rPr>
          <w:color w:val="000000" w:themeColor="text1"/>
        </w:rPr>
        <w:t>se</w:t>
      </w:r>
      <w:r w:rsidR="00263D52">
        <w:rPr>
          <w:color w:val="000000" w:themeColor="text1"/>
        </w:rPr>
        <w:t xml:space="preserve"> years </w:t>
      </w:r>
      <w:r w:rsidR="00473234">
        <w:rPr>
          <w:color w:val="000000" w:themeColor="text1"/>
        </w:rPr>
        <w:t>but this remains to be checked</w:t>
      </w:r>
      <w:r w:rsidR="00263D52">
        <w:rPr>
          <w:color w:val="000000" w:themeColor="text1"/>
        </w:rPr>
        <w:t xml:space="preserve">. </w:t>
      </w:r>
    </w:p>
    <w:p w:rsidR="00B92B53" w:rsidRPr="002618F1" w:rsidRDefault="00B92B53" w:rsidP="001A642C">
      <w:pPr>
        <w:pStyle w:val="ListParagraph"/>
        <w:numPr>
          <w:ilvl w:val="0"/>
          <w:numId w:val="7"/>
        </w:numPr>
        <w:spacing w:after="120"/>
        <w:ind w:left="1077" w:hanging="357"/>
        <w:contextualSpacing w:val="0"/>
        <w:jc w:val="both"/>
        <w:rPr>
          <w:color w:val="000000" w:themeColor="text1"/>
        </w:rPr>
      </w:pPr>
      <w:r>
        <w:rPr>
          <w:color w:val="000000" w:themeColor="text1"/>
        </w:rPr>
        <w:t>JCU data: This is another data set of data (</w:t>
      </w:r>
      <w:r w:rsidR="00F61557">
        <w:rPr>
          <w:color w:val="000000" w:themeColor="text1"/>
        </w:rPr>
        <w:t xml:space="preserve">presently </w:t>
      </w:r>
      <w:r>
        <w:rPr>
          <w:color w:val="000000" w:themeColor="text1"/>
        </w:rPr>
        <w:t xml:space="preserve">not in the CSIRO database) which was compiled by Gavin </w:t>
      </w:r>
      <w:proofErr w:type="spellStart"/>
      <w:r>
        <w:rPr>
          <w:color w:val="000000" w:themeColor="text1"/>
        </w:rPr>
        <w:t>Begg</w:t>
      </w:r>
      <w:proofErr w:type="spellEnd"/>
      <w:r>
        <w:rPr>
          <w:color w:val="000000" w:themeColor="text1"/>
        </w:rPr>
        <w:t xml:space="preserve">. It is believed to be a compilation of historical TIB data from the 1990s. </w:t>
      </w:r>
    </w:p>
    <w:p w:rsidR="002618F1" w:rsidRDefault="00E44C4D" w:rsidP="007E2945">
      <w:pPr>
        <w:jc w:val="both"/>
        <w:rPr>
          <w:color w:val="000000" w:themeColor="text1"/>
        </w:rPr>
      </w:pPr>
      <w:r>
        <w:rPr>
          <w:color w:val="000000" w:themeColor="text1"/>
        </w:rPr>
        <w:t xml:space="preserve">AFMA is in the process of updating all these data sets and when completed a copy </w:t>
      </w:r>
      <w:r w:rsidR="0068199C">
        <w:rPr>
          <w:color w:val="000000" w:themeColor="text1"/>
        </w:rPr>
        <w:t xml:space="preserve">of the updated database tables </w:t>
      </w:r>
      <w:r>
        <w:rPr>
          <w:color w:val="000000" w:themeColor="text1"/>
        </w:rPr>
        <w:t xml:space="preserve">will be </w:t>
      </w:r>
      <w:r w:rsidR="0068199C">
        <w:rPr>
          <w:color w:val="000000" w:themeColor="text1"/>
        </w:rPr>
        <w:t>included in the data routinely sent to</w:t>
      </w:r>
      <w:r>
        <w:rPr>
          <w:color w:val="000000" w:themeColor="text1"/>
        </w:rPr>
        <w:t xml:space="preserve"> CSIRO. </w:t>
      </w:r>
      <w:r w:rsidR="005C59AC">
        <w:rPr>
          <w:color w:val="000000" w:themeColor="text1"/>
        </w:rPr>
        <w:t xml:space="preserve">From the descriptions of the individual data </w:t>
      </w:r>
      <w:r w:rsidR="00CF07DA">
        <w:rPr>
          <w:color w:val="000000" w:themeColor="text1"/>
        </w:rPr>
        <w:t xml:space="preserve">provided above sets it is clear that there exists additional TIB data that precedes that </w:t>
      </w:r>
      <w:r w:rsidR="005C59AC">
        <w:rPr>
          <w:color w:val="000000" w:themeColor="text1"/>
        </w:rPr>
        <w:t>presently used in the TIB data summaries provided to TSRL RAG</w:t>
      </w:r>
      <w:r w:rsidR="00CF07DA">
        <w:rPr>
          <w:color w:val="000000" w:themeColor="text1"/>
        </w:rPr>
        <w:t xml:space="preserve"> (which starts in 2004).  The data from Murray Island (covering the years 2003-2010) is also believed to be additional data which is presently not included in the TIB data</w:t>
      </w:r>
      <w:r w:rsidR="005C59AC">
        <w:rPr>
          <w:color w:val="000000" w:themeColor="text1"/>
        </w:rPr>
        <w:t xml:space="preserve">. </w:t>
      </w:r>
      <w:r w:rsidR="009F2628">
        <w:rPr>
          <w:color w:val="000000" w:themeColor="text1"/>
        </w:rPr>
        <w:t xml:space="preserve">Whether there is additional data in the other data sets described above (3&amp;4) remains to be seen. </w:t>
      </w:r>
    </w:p>
    <w:p w:rsidR="002618F1" w:rsidRDefault="002618F1" w:rsidP="007E2945">
      <w:pPr>
        <w:jc w:val="both"/>
        <w:rPr>
          <w:color w:val="000000" w:themeColor="text1"/>
        </w:rPr>
      </w:pPr>
    </w:p>
    <w:p w:rsidR="001613B8" w:rsidRPr="006D70D0" w:rsidRDefault="000F37ED" w:rsidP="006D70D0">
      <w:pPr>
        <w:spacing w:after="120"/>
        <w:jc w:val="both"/>
        <w:rPr>
          <w:b/>
          <w:color w:val="000000" w:themeColor="text1"/>
        </w:rPr>
      </w:pPr>
      <w:r w:rsidRPr="006D70D0">
        <w:rPr>
          <w:b/>
          <w:color w:val="000000" w:themeColor="text1"/>
        </w:rPr>
        <w:t>Proposal to introduce a</w:t>
      </w:r>
      <w:r w:rsidR="00CF122A" w:rsidRPr="006D70D0">
        <w:rPr>
          <w:b/>
          <w:color w:val="000000" w:themeColor="text1"/>
        </w:rPr>
        <w:t xml:space="preserve"> </w:t>
      </w:r>
      <w:r w:rsidR="00EB39A0" w:rsidRPr="006D70D0">
        <w:rPr>
          <w:b/>
          <w:color w:val="000000" w:themeColor="text1"/>
        </w:rPr>
        <w:t>Fish Receiver System</w:t>
      </w:r>
    </w:p>
    <w:p w:rsidR="00F5117D" w:rsidRPr="000F37ED" w:rsidRDefault="001F3582" w:rsidP="00F5117D">
      <w:pPr>
        <w:jc w:val="both"/>
      </w:pPr>
      <w:r>
        <w:t>Subsequent to the Canberra meeting, I receive</w:t>
      </w:r>
      <w:r w:rsidR="00F64361">
        <w:t>d an email from Dean Pease (25-M</w:t>
      </w:r>
      <w:r>
        <w:t xml:space="preserve">ay) stating that AFMA is proposing to develop a fish receiver system </w:t>
      </w:r>
      <w:r w:rsidR="00F5117D">
        <w:t>(sometimes called a</w:t>
      </w:r>
      <w:r w:rsidR="00F5117D">
        <w:rPr>
          <w:color w:val="1F497D"/>
        </w:rPr>
        <w:t xml:space="preserve"> </w:t>
      </w:r>
      <w:r w:rsidR="00F5117D">
        <w:rPr>
          <w:color w:val="000000" w:themeColor="text1"/>
        </w:rPr>
        <w:t>catch-disposal-</w:t>
      </w:r>
      <w:r w:rsidR="00F5117D" w:rsidRPr="00F5117D">
        <w:rPr>
          <w:color w:val="000000" w:themeColor="text1"/>
        </w:rPr>
        <w:t xml:space="preserve">record </w:t>
      </w:r>
      <w:r w:rsidR="00F5117D">
        <w:rPr>
          <w:color w:val="000000" w:themeColor="text1"/>
        </w:rPr>
        <w:t>(</w:t>
      </w:r>
      <w:r w:rsidR="00F5117D" w:rsidRPr="00F5117D">
        <w:rPr>
          <w:color w:val="000000" w:themeColor="text1"/>
        </w:rPr>
        <w:t xml:space="preserve">CDR) system) </w:t>
      </w:r>
      <w:r>
        <w:t>for Torres Strait fisheries and that AFMA were seeking advice from a number of research members across the different Torres Strait consultative forums on the key principles/features a Torres Strait fish receiver system should include for data collection purposes.</w:t>
      </w:r>
      <w:r w:rsidR="00DD0ECB">
        <w:t xml:space="preserve"> It was also stated that once AFMA had developed a draft proposal they were planning to meet with research members again to discuss in more detail the specific design of the system.</w:t>
      </w:r>
      <w:r w:rsidR="00F5117D">
        <w:t xml:space="preserve"> </w:t>
      </w:r>
      <w:r w:rsidR="00F5117D">
        <w:rPr>
          <w:color w:val="000000" w:themeColor="text1"/>
        </w:rPr>
        <w:t xml:space="preserve"> </w:t>
      </w:r>
      <w:r w:rsidR="000F37ED">
        <w:rPr>
          <w:color w:val="000000" w:themeColor="text1"/>
        </w:rPr>
        <w:t>C</w:t>
      </w:r>
      <w:r w:rsidR="00F5117D">
        <w:rPr>
          <w:color w:val="000000" w:themeColor="text1"/>
        </w:rPr>
        <w:t>omments provided</w:t>
      </w:r>
      <w:r w:rsidR="00F5117D" w:rsidRPr="00F5117D">
        <w:rPr>
          <w:color w:val="000000" w:themeColor="text1"/>
        </w:rPr>
        <w:t xml:space="preserve"> to Dean on 1 June</w:t>
      </w:r>
      <w:r w:rsidR="000F37ED">
        <w:rPr>
          <w:color w:val="000000" w:themeColor="text1"/>
        </w:rPr>
        <w:t xml:space="preserve"> was</w:t>
      </w:r>
      <w:r w:rsidR="00F5117D">
        <w:rPr>
          <w:color w:val="000000" w:themeColor="text1"/>
        </w:rPr>
        <w:t xml:space="preserve"> as follows:</w:t>
      </w:r>
      <w:r w:rsidR="00F5117D" w:rsidRPr="00F5117D">
        <w:rPr>
          <w:color w:val="000000" w:themeColor="text1"/>
        </w:rPr>
        <w:t xml:space="preserve"> </w:t>
      </w:r>
    </w:p>
    <w:p w:rsidR="00F5117D" w:rsidRDefault="00F5117D" w:rsidP="00F5117D">
      <w:pPr>
        <w:jc w:val="both"/>
        <w:rPr>
          <w:color w:val="000000" w:themeColor="text1"/>
        </w:rPr>
      </w:pPr>
    </w:p>
    <w:p w:rsidR="00F5117D" w:rsidRPr="00F5117D" w:rsidRDefault="00F5117D" w:rsidP="00F5117D">
      <w:pPr>
        <w:jc w:val="both"/>
        <w:rPr>
          <w:sz w:val="22"/>
          <w:szCs w:val="22"/>
        </w:rPr>
      </w:pPr>
      <w:r>
        <w:rPr>
          <w:color w:val="000000" w:themeColor="text1"/>
        </w:rPr>
        <w:lastRenderedPageBreak/>
        <w:t xml:space="preserve">First, </w:t>
      </w:r>
      <w:r w:rsidRPr="00F5117D">
        <w:rPr>
          <w:color w:val="000000" w:themeColor="text1"/>
        </w:rPr>
        <w:t xml:space="preserve">if one is introducing CDRs in relation to a shift to quota management then </w:t>
      </w:r>
      <w:r>
        <w:rPr>
          <w:color w:val="000000" w:themeColor="text1"/>
        </w:rPr>
        <w:t>there is a need</w:t>
      </w:r>
      <w:r w:rsidRPr="00F5117D">
        <w:rPr>
          <w:color w:val="000000" w:themeColor="text1"/>
        </w:rPr>
        <w:t xml:space="preserve"> for the CDR coverage to be comprehensive, i.</w:t>
      </w:r>
      <w:r>
        <w:rPr>
          <w:color w:val="000000" w:themeColor="text1"/>
        </w:rPr>
        <w:t>e. cover all the landed catch. If this</w:t>
      </w:r>
      <w:r w:rsidRPr="00F5117D">
        <w:rPr>
          <w:color w:val="000000" w:themeColor="text1"/>
        </w:rPr>
        <w:t xml:space="preserve"> is</w:t>
      </w:r>
      <w:r>
        <w:rPr>
          <w:color w:val="000000" w:themeColor="text1"/>
        </w:rPr>
        <w:t xml:space="preserve"> not achieved then one is left </w:t>
      </w:r>
      <w:r w:rsidRPr="00F5117D">
        <w:rPr>
          <w:color w:val="000000" w:themeColor="text1"/>
        </w:rPr>
        <w:t>trying to estimate what the total catch is and this undermines the managem</w:t>
      </w:r>
      <w:r>
        <w:rPr>
          <w:color w:val="000000" w:themeColor="text1"/>
        </w:rPr>
        <w:t>ent and data collection system.</w:t>
      </w:r>
      <w:r w:rsidRPr="00F5117D">
        <w:rPr>
          <w:color w:val="000000" w:themeColor="text1"/>
        </w:rPr>
        <w:t xml:space="preserve"> </w:t>
      </w:r>
      <w:r w:rsidR="00F64361">
        <w:rPr>
          <w:color w:val="000000" w:themeColor="text1"/>
        </w:rPr>
        <w:t>This</w:t>
      </w:r>
      <w:r>
        <w:rPr>
          <w:color w:val="000000" w:themeColor="text1"/>
        </w:rPr>
        <w:t xml:space="preserve"> can </w:t>
      </w:r>
      <w:r w:rsidR="00F64361">
        <w:rPr>
          <w:color w:val="000000" w:themeColor="text1"/>
        </w:rPr>
        <w:t>be</w:t>
      </w:r>
      <w:r w:rsidRPr="00F5117D">
        <w:rPr>
          <w:color w:val="000000" w:themeColor="text1"/>
        </w:rPr>
        <w:t xml:space="preserve"> a major challenge </w:t>
      </w:r>
      <w:r>
        <w:rPr>
          <w:color w:val="000000" w:themeColor="text1"/>
        </w:rPr>
        <w:t>when there are</w:t>
      </w:r>
      <w:r w:rsidRPr="00F5117D">
        <w:rPr>
          <w:color w:val="000000" w:themeColor="text1"/>
        </w:rPr>
        <w:t xml:space="preserve"> many landing sites </w:t>
      </w:r>
      <w:r>
        <w:rPr>
          <w:color w:val="000000" w:themeColor="text1"/>
        </w:rPr>
        <w:t>to be covered (e.g. across the many islands of the Torres Strait). Also</w:t>
      </w:r>
      <w:r w:rsidRPr="00F5117D">
        <w:rPr>
          <w:color w:val="000000" w:themeColor="text1"/>
        </w:rPr>
        <w:t xml:space="preserve">, if there are a number of handlers before the catch </w:t>
      </w:r>
      <w:r>
        <w:rPr>
          <w:color w:val="000000" w:themeColor="text1"/>
        </w:rPr>
        <w:t>is received by</w:t>
      </w:r>
      <w:r w:rsidRPr="00F5117D">
        <w:rPr>
          <w:color w:val="000000" w:themeColor="text1"/>
        </w:rPr>
        <w:t xml:space="preserve"> the final processor then this could raise a problem of keeping check of catches as they pass through the system (i.e. one needs to make sure there is not double counting). </w:t>
      </w:r>
    </w:p>
    <w:p w:rsidR="00F5117D" w:rsidRPr="00F5117D" w:rsidRDefault="00F5117D" w:rsidP="00F5117D">
      <w:pPr>
        <w:jc w:val="both"/>
        <w:rPr>
          <w:color w:val="000000" w:themeColor="text1"/>
        </w:rPr>
      </w:pPr>
    </w:p>
    <w:p w:rsidR="00F5117D" w:rsidRPr="00F5117D" w:rsidRDefault="00F5117D" w:rsidP="00F5117D">
      <w:pPr>
        <w:jc w:val="both"/>
        <w:rPr>
          <w:color w:val="000000" w:themeColor="text1"/>
        </w:rPr>
      </w:pPr>
      <w:r w:rsidRPr="00F5117D">
        <w:rPr>
          <w:color w:val="000000" w:themeColor="text1"/>
        </w:rPr>
        <w:t xml:space="preserve">Second, the information recorded on the CDR data sheets </w:t>
      </w:r>
      <w:r>
        <w:rPr>
          <w:color w:val="000000" w:themeColor="text1"/>
        </w:rPr>
        <w:t>should</w:t>
      </w:r>
      <w:r w:rsidRPr="00F5117D">
        <w:rPr>
          <w:color w:val="000000" w:themeColor="text1"/>
        </w:rPr>
        <w:t xml:space="preserve"> collect, at a minimum, the following information:</w:t>
      </w:r>
    </w:p>
    <w:p w:rsidR="00F5117D" w:rsidRPr="00F5117D" w:rsidRDefault="00F5117D" w:rsidP="000C1B59">
      <w:pPr>
        <w:ind w:left="1134"/>
        <w:jc w:val="both"/>
        <w:rPr>
          <w:color w:val="000000" w:themeColor="text1"/>
        </w:rPr>
      </w:pPr>
      <w:r w:rsidRPr="00F5117D">
        <w:rPr>
          <w:color w:val="000000" w:themeColor="text1"/>
        </w:rPr>
        <w:t>Date</w:t>
      </w:r>
    </w:p>
    <w:p w:rsidR="00F5117D" w:rsidRPr="00F5117D" w:rsidRDefault="00F5117D" w:rsidP="000C1B59">
      <w:pPr>
        <w:ind w:left="1134"/>
        <w:jc w:val="both"/>
        <w:rPr>
          <w:color w:val="000000" w:themeColor="text1"/>
        </w:rPr>
      </w:pPr>
      <w:r w:rsidRPr="00F5117D">
        <w:rPr>
          <w:color w:val="000000" w:themeColor="text1"/>
        </w:rPr>
        <w:t>Name of Seller</w:t>
      </w:r>
    </w:p>
    <w:p w:rsidR="00F5117D" w:rsidRPr="00F5117D" w:rsidRDefault="00F5117D" w:rsidP="000C1B59">
      <w:pPr>
        <w:ind w:left="1134"/>
        <w:jc w:val="both"/>
        <w:rPr>
          <w:color w:val="000000" w:themeColor="text1"/>
        </w:rPr>
      </w:pPr>
      <w:r w:rsidRPr="00F5117D">
        <w:rPr>
          <w:color w:val="000000" w:themeColor="text1"/>
        </w:rPr>
        <w:t>Name of Boat or Boat Symbol</w:t>
      </w:r>
    </w:p>
    <w:p w:rsidR="00F5117D" w:rsidRPr="00F5117D" w:rsidRDefault="00F5117D" w:rsidP="000C1B59">
      <w:pPr>
        <w:ind w:left="1134"/>
        <w:jc w:val="both"/>
        <w:rPr>
          <w:color w:val="000000" w:themeColor="text1"/>
        </w:rPr>
      </w:pPr>
      <w:r w:rsidRPr="00F5117D">
        <w:rPr>
          <w:color w:val="000000" w:themeColor="text1"/>
        </w:rPr>
        <w:t>Unloading Port</w:t>
      </w:r>
    </w:p>
    <w:p w:rsidR="00F5117D" w:rsidRPr="00F5117D" w:rsidRDefault="00F5117D" w:rsidP="000C1B59">
      <w:pPr>
        <w:ind w:left="1134"/>
        <w:jc w:val="both"/>
        <w:rPr>
          <w:color w:val="000000" w:themeColor="text1"/>
        </w:rPr>
      </w:pPr>
      <w:r w:rsidRPr="00F5117D">
        <w:rPr>
          <w:color w:val="000000" w:themeColor="text1"/>
        </w:rPr>
        <w:t>Start-Date-of-Trip</w:t>
      </w:r>
    </w:p>
    <w:p w:rsidR="00F5117D" w:rsidRPr="00F5117D" w:rsidRDefault="00F5117D" w:rsidP="000C1B59">
      <w:pPr>
        <w:ind w:left="1134"/>
        <w:jc w:val="both"/>
        <w:rPr>
          <w:color w:val="000000" w:themeColor="text1"/>
        </w:rPr>
      </w:pPr>
      <w:r w:rsidRPr="00F5117D">
        <w:rPr>
          <w:color w:val="000000" w:themeColor="text1"/>
        </w:rPr>
        <w:t>End-Date-of Trip</w:t>
      </w:r>
    </w:p>
    <w:p w:rsidR="00F5117D" w:rsidRPr="00F5117D" w:rsidRDefault="00F5117D" w:rsidP="000C1B59">
      <w:pPr>
        <w:ind w:left="1134"/>
        <w:jc w:val="both"/>
        <w:rPr>
          <w:color w:val="000000" w:themeColor="text1"/>
        </w:rPr>
      </w:pPr>
      <w:r w:rsidRPr="00F5117D">
        <w:rPr>
          <w:color w:val="000000" w:themeColor="text1"/>
        </w:rPr>
        <w:t>Fishing Method</w:t>
      </w:r>
    </w:p>
    <w:p w:rsidR="00F5117D" w:rsidRPr="00F5117D" w:rsidRDefault="00F5117D" w:rsidP="000C1B59">
      <w:pPr>
        <w:ind w:left="1134"/>
        <w:jc w:val="both"/>
        <w:rPr>
          <w:color w:val="000000" w:themeColor="text1"/>
        </w:rPr>
      </w:pPr>
      <w:r w:rsidRPr="00F5117D">
        <w:rPr>
          <w:color w:val="000000" w:themeColor="text1"/>
        </w:rPr>
        <w:t>Species Name</w:t>
      </w:r>
    </w:p>
    <w:p w:rsidR="00F5117D" w:rsidRPr="00F5117D" w:rsidRDefault="00F5117D" w:rsidP="000C1B59">
      <w:pPr>
        <w:ind w:left="1134"/>
        <w:jc w:val="both"/>
        <w:rPr>
          <w:color w:val="000000" w:themeColor="text1"/>
        </w:rPr>
      </w:pPr>
      <w:r w:rsidRPr="00F5117D">
        <w:rPr>
          <w:color w:val="000000" w:themeColor="text1"/>
        </w:rPr>
        <w:t>Catch in numbers</w:t>
      </w:r>
    </w:p>
    <w:p w:rsidR="00F5117D" w:rsidRPr="00F5117D" w:rsidRDefault="00F5117D" w:rsidP="000C1B59">
      <w:pPr>
        <w:ind w:left="1134"/>
        <w:jc w:val="both"/>
        <w:rPr>
          <w:color w:val="000000" w:themeColor="text1"/>
        </w:rPr>
      </w:pPr>
      <w:r w:rsidRPr="00F5117D">
        <w:rPr>
          <w:color w:val="000000" w:themeColor="text1"/>
        </w:rPr>
        <w:t>Catch in weight</w:t>
      </w:r>
    </w:p>
    <w:p w:rsidR="00F5117D" w:rsidRPr="00F5117D" w:rsidRDefault="00F5117D" w:rsidP="000C1B59">
      <w:pPr>
        <w:ind w:left="1134"/>
        <w:jc w:val="both"/>
        <w:rPr>
          <w:color w:val="000000" w:themeColor="text1"/>
        </w:rPr>
      </w:pPr>
      <w:r w:rsidRPr="00F5117D">
        <w:rPr>
          <w:color w:val="000000" w:themeColor="text1"/>
        </w:rPr>
        <w:t xml:space="preserve">Process type </w:t>
      </w:r>
    </w:p>
    <w:p w:rsidR="00F5117D" w:rsidRPr="00F5117D" w:rsidRDefault="00F5117D" w:rsidP="000C1B59">
      <w:pPr>
        <w:ind w:left="1134"/>
        <w:jc w:val="both"/>
        <w:rPr>
          <w:color w:val="000000" w:themeColor="text1"/>
        </w:rPr>
      </w:pPr>
      <w:r w:rsidRPr="00F5117D">
        <w:rPr>
          <w:color w:val="000000" w:themeColor="text1"/>
        </w:rPr>
        <w:t>Weight Recording Method (i.e. estimated or weighed)</w:t>
      </w:r>
    </w:p>
    <w:p w:rsidR="00F5117D" w:rsidRPr="00F5117D" w:rsidRDefault="00F5117D" w:rsidP="000C1B59">
      <w:pPr>
        <w:ind w:left="1134"/>
        <w:jc w:val="both"/>
        <w:rPr>
          <w:color w:val="000000" w:themeColor="text1"/>
        </w:rPr>
      </w:pPr>
      <w:r w:rsidRPr="00F5117D">
        <w:rPr>
          <w:color w:val="000000" w:themeColor="text1"/>
        </w:rPr>
        <w:t>Name of Buyer / Processor</w:t>
      </w:r>
    </w:p>
    <w:p w:rsidR="00F5117D" w:rsidRPr="00F5117D" w:rsidRDefault="00F5117D" w:rsidP="00F5117D">
      <w:pPr>
        <w:jc w:val="both"/>
        <w:rPr>
          <w:color w:val="000000" w:themeColor="text1"/>
        </w:rPr>
      </w:pPr>
    </w:p>
    <w:p w:rsidR="00F5117D" w:rsidRPr="00F5117D" w:rsidRDefault="00F5117D" w:rsidP="00F5117D">
      <w:pPr>
        <w:jc w:val="both"/>
        <w:rPr>
          <w:color w:val="000000" w:themeColor="text1"/>
        </w:rPr>
      </w:pPr>
      <w:r>
        <w:rPr>
          <w:color w:val="000000" w:themeColor="text1"/>
        </w:rPr>
        <w:t xml:space="preserve">Third, </w:t>
      </w:r>
      <w:r w:rsidRPr="00F5117D">
        <w:rPr>
          <w:color w:val="000000" w:themeColor="text1"/>
        </w:rPr>
        <w:t>the CDR records need to be</w:t>
      </w:r>
      <w:r>
        <w:rPr>
          <w:color w:val="000000" w:themeColor="text1"/>
        </w:rPr>
        <w:t xml:space="preserve"> able to be linked back to the relevant l</w:t>
      </w:r>
      <w:r w:rsidRPr="00F5117D">
        <w:rPr>
          <w:color w:val="000000" w:themeColor="text1"/>
        </w:rPr>
        <w:t xml:space="preserve">ogbook </w:t>
      </w:r>
      <w:r>
        <w:rPr>
          <w:color w:val="000000" w:themeColor="text1"/>
        </w:rPr>
        <w:t xml:space="preserve">and docket-book </w:t>
      </w:r>
      <w:r w:rsidRPr="00F5117D">
        <w:rPr>
          <w:color w:val="000000" w:themeColor="text1"/>
        </w:rPr>
        <w:t xml:space="preserve">data pertaining to these catches – this is so that the relevant effort data can be matched to the catches (location, </w:t>
      </w:r>
      <w:r>
        <w:rPr>
          <w:color w:val="000000" w:themeColor="text1"/>
        </w:rPr>
        <w:t xml:space="preserve">days/hours fished </w:t>
      </w:r>
      <w:proofErr w:type="spellStart"/>
      <w:r>
        <w:rPr>
          <w:color w:val="000000" w:themeColor="text1"/>
        </w:rPr>
        <w:t>etc</w:t>
      </w:r>
      <w:proofErr w:type="spellEnd"/>
      <w:r>
        <w:rPr>
          <w:color w:val="000000" w:themeColor="text1"/>
        </w:rPr>
        <w:t xml:space="preserve">). </w:t>
      </w:r>
      <w:r w:rsidRPr="00F5117D">
        <w:rPr>
          <w:color w:val="000000" w:themeColor="text1"/>
        </w:rPr>
        <w:t>It also provides a check on the logbook c</w:t>
      </w:r>
      <w:r>
        <w:rPr>
          <w:color w:val="000000" w:themeColor="text1"/>
        </w:rPr>
        <w:t xml:space="preserve">overage (and also vice versa). </w:t>
      </w:r>
      <w:r w:rsidRPr="00F5117D">
        <w:rPr>
          <w:color w:val="000000" w:themeColor="text1"/>
        </w:rPr>
        <w:t>Such a linkage can be done</w:t>
      </w:r>
      <w:r>
        <w:rPr>
          <w:color w:val="000000" w:themeColor="text1"/>
        </w:rPr>
        <w:t xml:space="preserve"> in various ways – recording a unique trip ID or vessel-name/dates, </w:t>
      </w:r>
      <w:proofErr w:type="spellStart"/>
      <w:r>
        <w:rPr>
          <w:color w:val="000000" w:themeColor="text1"/>
        </w:rPr>
        <w:t>etc</w:t>
      </w:r>
      <w:proofErr w:type="spellEnd"/>
      <w:r>
        <w:rPr>
          <w:color w:val="000000" w:themeColor="text1"/>
        </w:rPr>
        <w:t xml:space="preserve"> </w:t>
      </w:r>
      <w:r w:rsidRPr="00F5117D">
        <w:rPr>
          <w:color w:val="000000" w:themeColor="text1"/>
        </w:rPr>
        <w:t xml:space="preserve">on both the CDRs and logbooks. </w:t>
      </w:r>
    </w:p>
    <w:p w:rsidR="00CF122A" w:rsidRPr="001613B8" w:rsidRDefault="00CF122A" w:rsidP="007E2945">
      <w:pPr>
        <w:jc w:val="both"/>
        <w:rPr>
          <w:color w:val="000000" w:themeColor="text1"/>
        </w:rPr>
      </w:pPr>
    </w:p>
    <w:p w:rsidR="005B6967" w:rsidRPr="00F5117D" w:rsidRDefault="005B6967" w:rsidP="006D70D0">
      <w:pPr>
        <w:spacing w:after="120"/>
        <w:jc w:val="both"/>
        <w:rPr>
          <w:b/>
        </w:rPr>
      </w:pPr>
      <w:r w:rsidRPr="00F5117D">
        <w:rPr>
          <w:b/>
        </w:rPr>
        <w:t>References</w:t>
      </w:r>
    </w:p>
    <w:p w:rsidR="005B6967" w:rsidRDefault="005B6967" w:rsidP="006D70D0">
      <w:pPr>
        <w:spacing w:after="120"/>
        <w:ind w:left="567" w:hanging="567"/>
        <w:jc w:val="both"/>
      </w:pPr>
      <w:r>
        <w:t>Campbell, R.A., 2015</w:t>
      </w:r>
      <w:r w:rsidRPr="00FF1A12">
        <w:t xml:space="preserve">. </w:t>
      </w:r>
      <w:r w:rsidRPr="00D42036">
        <w:rPr>
          <w:i/>
        </w:rPr>
        <w:t>Use of TIB Logbook Data to construct an Annual Abundance Index for Torres Strait Rock Lobster – 2015 Update</w:t>
      </w:r>
      <w:r>
        <w:t>. Information paper presented to the 14</w:t>
      </w:r>
      <w:r w:rsidRPr="009710B8">
        <w:rPr>
          <w:vertAlign w:val="superscript"/>
        </w:rPr>
        <w:t>th</w:t>
      </w:r>
      <w:r>
        <w:t xml:space="preserve"> meeting of the Torres Strait Rock Lobster Resource Assessment Group, held 25-26 August 2015, Thursday Island.</w:t>
      </w:r>
    </w:p>
    <w:p w:rsidR="005155BD" w:rsidRDefault="005155BD">
      <w:pPr>
        <w:spacing w:after="160" w:line="259" w:lineRule="auto"/>
      </w:pPr>
      <w:r>
        <w:br w:type="page"/>
      </w:r>
    </w:p>
    <w:p w:rsidR="005155BD" w:rsidRDefault="005155BD" w:rsidP="005155BD">
      <w:r>
        <w:lastRenderedPageBreak/>
        <w:t>Appendix A. The Buyers and Processors Docket Book (TDB01) used in the TIB sector of the Torres Strait rock lobster fishery.</w:t>
      </w:r>
    </w:p>
    <w:p w:rsidR="005155BD" w:rsidRDefault="005155BD" w:rsidP="005155BD"/>
    <w:p w:rsidR="005155BD" w:rsidRDefault="005155BD" w:rsidP="005155BD">
      <w:r w:rsidRPr="00CE2D8B">
        <w:rPr>
          <w:noProof/>
        </w:rPr>
        <w:drawing>
          <wp:inline distT="0" distB="0" distL="0" distR="0" wp14:anchorId="01F906B5" wp14:editId="4983007B">
            <wp:extent cx="5731510" cy="8029970"/>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731510" cy="8029970"/>
                    </a:xfrm>
                    <a:prstGeom prst="rect">
                      <a:avLst/>
                    </a:prstGeom>
                    <a:noFill/>
                    <a:ln w="9525">
                      <a:noFill/>
                      <a:miter lim="800000"/>
                      <a:headEnd/>
                      <a:tailEnd/>
                    </a:ln>
                  </pic:spPr>
                </pic:pic>
              </a:graphicData>
            </a:graphic>
          </wp:inline>
        </w:drawing>
      </w:r>
    </w:p>
    <w:p w:rsidR="005B6967" w:rsidRDefault="005B6967" w:rsidP="007E2945">
      <w:pPr>
        <w:jc w:val="both"/>
      </w:pPr>
    </w:p>
    <w:sectPr w:rsidR="005B696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F9E" w:rsidRDefault="00973F9E" w:rsidP="00B3733C">
      <w:r>
        <w:separator/>
      </w:r>
    </w:p>
  </w:endnote>
  <w:endnote w:type="continuationSeparator" w:id="0">
    <w:p w:rsidR="00973F9E" w:rsidRDefault="00973F9E" w:rsidP="00B3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3258233"/>
      <w:docPartObj>
        <w:docPartGallery w:val="Page Numbers (Bottom of Page)"/>
        <w:docPartUnique/>
      </w:docPartObj>
    </w:sdtPr>
    <w:sdtEndPr/>
    <w:sdtContent>
      <w:p w:rsidR="001B15BF" w:rsidRDefault="00E24C83">
        <w:pPr>
          <w:pStyle w:val="Footer"/>
          <w:jc w:val="center"/>
        </w:pPr>
        <w:r>
          <w:fldChar w:fldCharType="begin"/>
        </w:r>
        <w:r>
          <w:instrText xml:space="preserve"> PAGE   \* MERGEFORMAT </w:instrText>
        </w:r>
        <w:r>
          <w:fldChar w:fldCharType="separate"/>
        </w:r>
        <w:r w:rsidR="006E6E3C">
          <w:rPr>
            <w:noProof/>
          </w:rPr>
          <w:t>7</w:t>
        </w:r>
        <w:r>
          <w:rPr>
            <w:noProof/>
          </w:rPr>
          <w:fldChar w:fldCharType="end"/>
        </w:r>
      </w:p>
    </w:sdtContent>
  </w:sdt>
  <w:p w:rsidR="001B15BF" w:rsidRDefault="00973F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F9E" w:rsidRDefault="00973F9E" w:rsidP="00B3733C">
      <w:r>
        <w:separator/>
      </w:r>
    </w:p>
  </w:footnote>
  <w:footnote w:type="continuationSeparator" w:id="0">
    <w:p w:rsidR="00973F9E" w:rsidRDefault="00973F9E" w:rsidP="00B37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012" w:rsidRPr="00AD7012" w:rsidRDefault="000C1B59" w:rsidP="00AD7012">
    <w:pPr>
      <w:jc w:val="right"/>
      <w:rPr>
        <w:sz w:val="20"/>
        <w:szCs w:val="20"/>
      </w:rPr>
    </w:pPr>
    <w:r>
      <w:rPr>
        <w:sz w:val="20"/>
        <w:szCs w:val="20"/>
      </w:rPr>
      <w:t>D</w:t>
    </w:r>
    <w:r w:rsidR="00AD7012" w:rsidRPr="00AD7012">
      <w:rPr>
        <w:sz w:val="20"/>
        <w:szCs w:val="20"/>
      </w:rPr>
      <w:t xml:space="preserve">ata issues </w:t>
    </w:r>
    <w:r>
      <w:rPr>
        <w:sz w:val="20"/>
        <w:szCs w:val="20"/>
      </w:rPr>
      <w:t>pertaining to</w:t>
    </w:r>
    <w:r w:rsidR="00AD7012" w:rsidRPr="00AD7012">
      <w:rPr>
        <w:sz w:val="20"/>
        <w:szCs w:val="20"/>
      </w:rPr>
      <w:t xml:space="preserve"> the Torres Strait rock lobster fishery</w:t>
    </w:r>
    <w:r w:rsidR="00AD7012">
      <w:rPr>
        <w:sz w:val="20"/>
        <w:szCs w:val="20"/>
      </w:rPr>
      <w:t>, July 2016</w:t>
    </w:r>
  </w:p>
  <w:p w:rsidR="001B15BF" w:rsidRPr="00C96B8F" w:rsidRDefault="00E24C83" w:rsidP="00C96B8F">
    <w:pPr>
      <w:pStyle w:val="Header"/>
    </w:pPr>
    <w:r>
      <w:rPr>
        <w:sz w:val="18"/>
        <w:szCs w:val="18"/>
      </w:rPr>
      <w:t>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A07F3"/>
    <w:multiLevelType w:val="hybridMultilevel"/>
    <w:tmpl w:val="C2C6B06A"/>
    <w:lvl w:ilvl="0" w:tplc="A07639D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52D0227"/>
    <w:multiLevelType w:val="hybridMultilevel"/>
    <w:tmpl w:val="8CE48038"/>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0B2508"/>
    <w:multiLevelType w:val="hybridMultilevel"/>
    <w:tmpl w:val="CBC03C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4C237ED"/>
    <w:multiLevelType w:val="hybridMultilevel"/>
    <w:tmpl w:val="CBC03C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8CB2443"/>
    <w:multiLevelType w:val="hybridMultilevel"/>
    <w:tmpl w:val="1682D3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B0940EE"/>
    <w:multiLevelType w:val="hybridMultilevel"/>
    <w:tmpl w:val="48D8DF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E181206"/>
    <w:multiLevelType w:val="hybridMultilevel"/>
    <w:tmpl w:val="E1D2EC54"/>
    <w:lvl w:ilvl="0" w:tplc="C29A036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63D5302B"/>
    <w:multiLevelType w:val="hybridMultilevel"/>
    <w:tmpl w:val="13527DD4"/>
    <w:lvl w:ilvl="0" w:tplc="9C40BE18">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7"/>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4B"/>
    <w:rsid w:val="0005581C"/>
    <w:rsid w:val="0006091A"/>
    <w:rsid w:val="0009169E"/>
    <w:rsid w:val="00091C91"/>
    <w:rsid w:val="00092E91"/>
    <w:rsid w:val="00095695"/>
    <w:rsid w:val="000A33FD"/>
    <w:rsid w:val="000A3731"/>
    <w:rsid w:val="000B7569"/>
    <w:rsid w:val="000C1B59"/>
    <w:rsid w:val="000C2EAD"/>
    <w:rsid w:val="000C3D4F"/>
    <w:rsid w:val="000F37ED"/>
    <w:rsid w:val="000F7577"/>
    <w:rsid w:val="00100D72"/>
    <w:rsid w:val="00107CF6"/>
    <w:rsid w:val="00114D9B"/>
    <w:rsid w:val="0012387C"/>
    <w:rsid w:val="0013037B"/>
    <w:rsid w:val="00140DE4"/>
    <w:rsid w:val="00154412"/>
    <w:rsid w:val="001570FD"/>
    <w:rsid w:val="00160F09"/>
    <w:rsid w:val="001613B8"/>
    <w:rsid w:val="00172652"/>
    <w:rsid w:val="00173FD0"/>
    <w:rsid w:val="00180FBC"/>
    <w:rsid w:val="00183A8C"/>
    <w:rsid w:val="0019023C"/>
    <w:rsid w:val="00197104"/>
    <w:rsid w:val="001A197D"/>
    <w:rsid w:val="001A2F9A"/>
    <w:rsid w:val="001A642C"/>
    <w:rsid w:val="001B14B2"/>
    <w:rsid w:val="001E382E"/>
    <w:rsid w:val="001F3582"/>
    <w:rsid w:val="00213D55"/>
    <w:rsid w:val="00222C64"/>
    <w:rsid w:val="00223419"/>
    <w:rsid w:val="00236332"/>
    <w:rsid w:val="0023638F"/>
    <w:rsid w:val="002418E8"/>
    <w:rsid w:val="00246A02"/>
    <w:rsid w:val="0025518E"/>
    <w:rsid w:val="002618F1"/>
    <w:rsid w:val="00263D52"/>
    <w:rsid w:val="00264EB2"/>
    <w:rsid w:val="00265D95"/>
    <w:rsid w:val="002670D0"/>
    <w:rsid w:val="0027773F"/>
    <w:rsid w:val="00283332"/>
    <w:rsid w:val="002871CA"/>
    <w:rsid w:val="00291533"/>
    <w:rsid w:val="00292483"/>
    <w:rsid w:val="002A038A"/>
    <w:rsid w:val="002B3727"/>
    <w:rsid w:val="002C2B1A"/>
    <w:rsid w:val="002C4DB3"/>
    <w:rsid w:val="002D03CB"/>
    <w:rsid w:val="002D498C"/>
    <w:rsid w:val="002D5494"/>
    <w:rsid w:val="002E6E1C"/>
    <w:rsid w:val="00307107"/>
    <w:rsid w:val="0031070B"/>
    <w:rsid w:val="00311642"/>
    <w:rsid w:val="003228CB"/>
    <w:rsid w:val="003308FC"/>
    <w:rsid w:val="003452F7"/>
    <w:rsid w:val="00357C9F"/>
    <w:rsid w:val="00360C10"/>
    <w:rsid w:val="00395CA3"/>
    <w:rsid w:val="003B31DD"/>
    <w:rsid w:val="003B5B4D"/>
    <w:rsid w:val="003D111E"/>
    <w:rsid w:val="003F2696"/>
    <w:rsid w:val="00400DEE"/>
    <w:rsid w:val="00404FC2"/>
    <w:rsid w:val="004074BB"/>
    <w:rsid w:val="004319F0"/>
    <w:rsid w:val="0045764D"/>
    <w:rsid w:val="00460DAC"/>
    <w:rsid w:val="00473234"/>
    <w:rsid w:val="0047697E"/>
    <w:rsid w:val="004A2BA1"/>
    <w:rsid w:val="004B520D"/>
    <w:rsid w:val="004B59E9"/>
    <w:rsid w:val="004C426B"/>
    <w:rsid w:val="004D05C5"/>
    <w:rsid w:val="004D3693"/>
    <w:rsid w:val="004F0624"/>
    <w:rsid w:val="004F2C1F"/>
    <w:rsid w:val="004F5BFB"/>
    <w:rsid w:val="00512E03"/>
    <w:rsid w:val="005130F2"/>
    <w:rsid w:val="005155BD"/>
    <w:rsid w:val="0051785A"/>
    <w:rsid w:val="00524AE3"/>
    <w:rsid w:val="00531C03"/>
    <w:rsid w:val="0053446E"/>
    <w:rsid w:val="00542931"/>
    <w:rsid w:val="0055264F"/>
    <w:rsid w:val="005555DD"/>
    <w:rsid w:val="0057031A"/>
    <w:rsid w:val="005872C3"/>
    <w:rsid w:val="005A6293"/>
    <w:rsid w:val="005B4C60"/>
    <w:rsid w:val="005B6967"/>
    <w:rsid w:val="005B69F2"/>
    <w:rsid w:val="005C59AC"/>
    <w:rsid w:val="005C66EE"/>
    <w:rsid w:val="005D2102"/>
    <w:rsid w:val="005F1359"/>
    <w:rsid w:val="005F1A04"/>
    <w:rsid w:val="005F6F44"/>
    <w:rsid w:val="00612C4E"/>
    <w:rsid w:val="006278A0"/>
    <w:rsid w:val="00634F31"/>
    <w:rsid w:val="00635ACA"/>
    <w:rsid w:val="00641030"/>
    <w:rsid w:val="00667E78"/>
    <w:rsid w:val="0068199C"/>
    <w:rsid w:val="006B0270"/>
    <w:rsid w:val="006B1337"/>
    <w:rsid w:val="006C522D"/>
    <w:rsid w:val="006D2A13"/>
    <w:rsid w:val="006D70D0"/>
    <w:rsid w:val="006E6E3C"/>
    <w:rsid w:val="006E7397"/>
    <w:rsid w:val="006F55CE"/>
    <w:rsid w:val="007221AE"/>
    <w:rsid w:val="00732145"/>
    <w:rsid w:val="00744480"/>
    <w:rsid w:val="00755035"/>
    <w:rsid w:val="00755B64"/>
    <w:rsid w:val="00757EFD"/>
    <w:rsid w:val="0076560A"/>
    <w:rsid w:val="00766D3D"/>
    <w:rsid w:val="007716C2"/>
    <w:rsid w:val="007816AC"/>
    <w:rsid w:val="00783D2B"/>
    <w:rsid w:val="007A24D7"/>
    <w:rsid w:val="007A644D"/>
    <w:rsid w:val="007B3302"/>
    <w:rsid w:val="007B3315"/>
    <w:rsid w:val="007C1606"/>
    <w:rsid w:val="007C394F"/>
    <w:rsid w:val="007E2945"/>
    <w:rsid w:val="007E6832"/>
    <w:rsid w:val="008442ED"/>
    <w:rsid w:val="00862E6E"/>
    <w:rsid w:val="00883A67"/>
    <w:rsid w:val="00890478"/>
    <w:rsid w:val="008A2396"/>
    <w:rsid w:val="008B253B"/>
    <w:rsid w:val="008B2E98"/>
    <w:rsid w:val="008D1945"/>
    <w:rsid w:val="008D7184"/>
    <w:rsid w:val="008E30A2"/>
    <w:rsid w:val="008F1ACB"/>
    <w:rsid w:val="00907051"/>
    <w:rsid w:val="00910B6C"/>
    <w:rsid w:val="00955706"/>
    <w:rsid w:val="009574E5"/>
    <w:rsid w:val="00957825"/>
    <w:rsid w:val="00960CEF"/>
    <w:rsid w:val="00964075"/>
    <w:rsid w:val="00973F9E"/>
    <w:rsid w:val="009760B4"/>
    <w:rsid w:val="00984287"/>
    <w:rsid w:val="009908DB"/>
    <w:rsid w:val="00994733"/>
    <w:rsid w:val="0099790A"/>
    <w:rsid w:val="009D6428"/>
    <w:rsid w:val="009D729C"/>
    <w:rsid w:val="009E3808"/>
    <w:rsid w:val="009E63FD"/>
    <w:rsid w:val="009E6808"/>
    <w:rsid w:val="009F2628"/>
    <w:rsid w:val="009F3573"/>
    <w:rsid w:val="00A240D7"/>
    <w:rsid w:val="00A25479"/>
    <w:rsid w:val="00A30368"/>
    <w:rsid w:val="00A70F30"/>
    <w:rsid w:val="00A93748"/>
    <w:rsid w:val="00AC0D31"/>
    <w:rsid w:val="00AC6B35"/>
    <w:rsid w:val="00AD0690"/>
    <w:rsid w:val="00AD7012"/>
    <w:rsid w:val="00B02A52"/>
    <w:rsid w:val="00B07ECD"/>
    <w:rsid w:val="00B31101"/>
    <w:rsid w:val="00B3589A"/>
    <w:rsid w:val="00B3733C"/>
    <w:rsid w:val="00B43A32"/>
    <w:rsid w:val="00B85923"/>
    <w:rsid w:val="00B878E3"/>
    <w:rsid w:val="00B92B53"/>
    <w:rsid w:val="00BA5535"/>
    <w:rsid w:val="00BB3F4D"/>
    <w:rsid w:val="00BC3FFB"/>
    <w:rsid w:val="00BC58ED"/>
    <w:rsid w:val="00BC74C5"/>
    <w:rsid w:val="00BE5D0E"/>
    <w:rsid w:val="00C1059B"/>
    <w:rsid w:val="00C16784"/>
    <w:rsid w:val="00C1735D"/>
    <w:rsid w:val="00C20005"/>
    <w:rsid w:val="00C26148"/>
    <w:rsid w:val="00C325C6"/>
    <w:rsid w:val="00C44C84"/>
    <w:rsid w:val="00C47999"/>
    <w:rsid w:val="00C61039"/>
    <w:rsid w:val="00C758CF"/>
    <w:rsid w:val="00C830DD"/>
    <w:rsid w:val="00CC63F9"/>
    <w:rsid w:val="00CF07DA"/>
    <w:rsid w:val="00CF122A"/>
    <w:rsid w:val="00CF7731"/>
    <w:rsid w:val="00D143E4"/>
    <w:rsid w:val="00D16B2B"/>
    <w:rsid w:val="00D20779"/>
    <w:rsid w:val="00D35C81"/>
    <w:rsid w:val="00D40F6C"/>
    <w:rsid w:val="00D42036"/>
    <w:rsid w:val="00D50690"/>
    <w:rsid w:val="00D63DEA"/>
    <w:rsid w:val="00D670D4"/>
    <w:rsid w:val="00D76BB6"/>
    <w:rsid w:val="00D76E47"/>
    <w:rsid w:val="00D934DB"/>
    <w:rsid w:val="00D96BA3"/>
    <w:rsid w:val="00D96C08"/>
    <w:rsid w:val="00DC00FD"/>
    <w:rsid w:val="00DD0ECB"/>
    <w:rsid w:val="00DD73DB"/>
    <w:rsid w:val="00E06CD7"/>
    <w:rsid w:val="00E127BD"/>
    <w:rsid w:val="00E22E13"/>
    <w:rsid w:val="00E24C83"/>
    <w:rsid w:val="00E27039"/>
    <w:rsid w:val="00E27A44"/>
    <w:rsid w:val="00E44C4D"/>
    <w:rsid w:val="00E50F0C"/>
    <w:rsid w:val="00E75FD6"/>
    <w:rsid w:val="00E82BFF"/>
    <w:rsid w:val="00E84314"/>
    <w:rsid w:val="00E962EF"/>
    <w:rsid w:val="00EA1B2D"/>
    <w:rsid w:val="00EA275E"/>
    <w:rsid w:val="00EA3AAD"/>
    <w:rsid w:val="00EA6A24"/>
    <w:rsid w:val="00EA7A5A"/>
    <w:rsid w:val="00EB39A0"/>
    <w:rsid w:val="00ED517E"/>
    <w:rsid w:val="00EF09E0"/>
    <w:rsid w:val="00F01558"/>
    <w:rsid w:val="00F1192A"/>
    <w:rsid w:val="00F14007"/>
    <w:rsid w:val="00F5117D"/>
    <w:rsid w:val="00F52B4B"/>
    <w:rsid w:val="00F60CEA"/>
    <w:rsid w:val="00F61557"/>
    <w:rsid w:val="00F62311"/>
    <w:rsid w:val="00F64361"/>
    <w:rsid w:val="00F82F90"/>
    <w:rsid w:val="00F93834"/>
    <w:rsid w:val="00F97BFA"/>
    <w:rsid w:val="00FA2CE0"/>
    <w:rsid w:val="00FA5742"/>
    <w:rsid w:val="00FA69AF"/>
    <w:rsid w:val="00FB395C"/>
    <w:rsid w:val="00FC1A44"/>
    <w:rsid w:val="00FD18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9BDD0B-18CE-422C-B29A-35903487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B4B"/>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8ED"/>
    <w:pPr>
      <w:ind w:left="720"/>
      <w:contextualSpacing/>
    </w:pPr>
  </w:style>
  <w:style w:type="paragraph" w:styleId="Header">
    <w:name w:val="header"/>
    <w:basedOn w:val="Normal"/>
    <w:link w:val="HeaderChar"/>
    <w:unhideWhenUsed/>
    <w:rsid w:val="00964075"/>
    <w:pPr>
      <w:tabs>
        <w:tab w:val="center" w:pos="4513"/>
        <w:tab w:val="right" w:pos="9026"/>
      </w:tabs>
    </w:pPr>
  </w:style>
  <w:style w:type="character" w:customStyle="1" w:styleId="HeaderChar">
    <w:name w:val="Header Char"/>
    <w:basedOn w:val="DefaultParagraphFont"/>
    <w:link w:val="Header"/>
    <w:rsid w:val="00964075"/>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964075"/>
    <w:pPr>
      <w:tabs>
        <w:tab w:val="center" w:pos="4513"/>
        <w:tab w:val="right" w:pos="9026"/>
      </w:tabs>
    </w:pPr>
  </w:style>
  <w:style w:type="character" w:customStyle="1" w:styleId="FooterChar">
    <w:name w:val="Footer Char"/>
    <w:basedOn w:val="DefaultParagraphFont"/>
    <w:link w:val="Footer"/>
    <w:uiPriority w:val="99"/>
    <w:rsid w:val="00964075"/>
    <w:rPr>
      <w:rFonts w:ascii="Times New Roman" w:eastAsia="Times New Roman" w:hAnsi="Times New Roman" w:cs="Times New Roman"/>
      <w:sz w:val="24"/>
      <w:szCs w:val="24"/>
      <w:lang w:eastAsia="en-AU"/>
    </w:rPr>
  </w:style>
  <w:style w:type="character" w:styleId="PlaceholderText">
    <w:name w:val="Placeholder Text"/>
    <w:basedOn w:val="DefaultParagraphFont"/>
    <w:uiPriority w:val="99"/>
    <w:semiHidden/>
    <w:rsid w:val="00DC00FD"/>
    <w:rPr>
      <w:color w:val="808080"/>
    </w:rPr>
  </w:style>
  <w:style w:type="paragraph" w:styleId="BalloonText">
    <w:name w:val="Balloon Text"/>
    <w:basedOn w:val="Normal"/>
    <w:link w:val="BalloonTextChar"/>
    <w:uiPriority w:val="99"/>
    <w:semiHidden/>
    <w:unhideWhenUsed/>
    <w:rsid w:val="00D40F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F6C"/>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7251">
      <w:bodyDiv w:val="1"/>
      <w:marLeft w:val="0"/>
      <w:marRight w:val="0"/>
      <w:marTop w:val="0"/>
      <w:marBottom w:val="0"/>
      <w:divBdr>
        <w:top w:val="none" w:sz="0" w:space="0" w:color="auto"/>
        <w:left w:val="none" w:sz="0" w:space="0" w:color="auto"/>
        <w:bottom w:val="none" w:sz="0" w:space="0" w:color="auto"/>
        <w:right w:val="none" w:sz="0" w:space="0" w:color="auto"/>
      </w:divBdr>
    </w:div>
    <w:div w:id="30421432">
      <w:bodyDiv w:val="1"/>
      <w:marLeft w:val="0"/>
      <w:marRight w:val="0"/>
      <w:marTop w:val="0"/>
      <w:marBottom w:val="0"/>
      <w:divBdr>
        <w:top w:val="none" w:sz="0" w:space="0" w:color="auto"/>
        <w:left w:val="none" w:sz="0" w:space="0" w:color="auto"/>
        <w:bottom w:val="none" w:sz="0" w:space="0" w:color="auto"/>
        <w:right w:val="none" w:sz="0" w:space="0" w:color="auto"/>
      </w:divBdr>
    </w:div>
    <w:div w:id="164784841">
      <w:bodyDiv w:val="1"/>
      <w:marLeft w:val="0"/>
      <w:marRight w:val="0"/>
      <w:marTop w:val="0"/>
      <w:marBottom w:val="0"/>
      <w:divBdr>
        <w:top w:val="none" w:sz="0" w:space="0" w:color="auto"/>
        <w:left w:val="none" w:sz="0" w:space="0" w:color="auto"/>
        <w:bottom w:val="none" w:sz="0" w:space="0" w:color="auto"/>
        <w:right w:val="none" w:sz="0" w:space="0" w:color="auto"/>
      </w:divBdr>
    </w:div>
    <w:div w:id="205962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E7CD0-D2E5-4D98-8930-ABC58DC56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7</Pages>
  <Words>2390</Words>
  <Characters>13626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15985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Robert (O&amp;A, Aspendale)</dc:creator>
  <cp:keywords/>
  <dc:description/>
  <cp:lastModifiedBy>Campbell, Robert (O&amp;A, Aspendale)</cp:lastModifiedBy>
  <cp:revision>89</cp:revision>
  <cp:lastPrinted>2016-07-25T04:13:00Z</cp:lastPrinted>
  <dcterms:created xsi:type="dcterms:W3CDTF">2016-07-20T02:07:00Z</dcterms:created>
  <dcterms:modified xsi:type="dcterms:W3CDTF">2016-07-27T00:30:00Z</dcterms:modified>
</cp:coreProperties>
</file>