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8478D" w14:textId="77777777" w:rsidR="00763382" w:rsidRDefault="00763382" w:rsidP="00763382">
      <w:pPr>
        <w:pStyle w:val="Heading1"/>
      </w:pPr>
      <w:bookmarkStart w:id="0" w:name="_Ref428798513"/>
      <w:bookmarkStart w:id="1" w:name="_GoBack"/>
      <w:bookmarkEnd w:id="1"/>
      <w:r>
        <w:t xml:space="preserve">Torres Strait </w:t>
      </w:r>
      <w:r w:rsidR="00CC6331">
        <w:t xml:space="preserve">Scientific Technical </w:t>
      </w:r>
      <w:r w:rsidR="0017018F">
        <w:t>Finfish</w:t>
      </w:r>
      <w:r>
        <w:t xml:space="preserve"> </w:t>
      </w:r>
      <w:r w:rsidR="00307916">
        <w:t>Working</w:t>
      </w:r>
      <w:r>
        <w:t xml:space="preserve"> Group</w:t>
      </w:r>
      <w:bookmarkEnd w:id="0"/>
      <w:r w:rsidR="000504BD">
        <w:t xml:space="preserve"> </w:t>
      </w:r>
    </w:p>
    <w:p w14:paraId="098DC11F" w14:textId="77777777" w:rsidR="00763382" w:rsidRDefault="00763382" w:rsidP="00763382">
      <w:pPr>
        <w:pStyle w:val="Subtitle"/>
      </w:pPr>
      <w:r>
        <w:t>Meeting Record</w:t>
      </w:r>
    </w:p>
    <w:p w14:paraId="1E366E06" w14:textId="00326663" w:rsidR="00CC6331" w:rsidRDefault="00127497" w:rsidP="00CC6331">
      <w:pPr>
        <w:pStyle w:val="Subtitle"/>
      </w:pPr>
      <w:r>
        <w:t>6</w:t>
      </w:r>
      <w:r w:rsidR="00CC6331">
        <w:t xml:space="preserve"> </w:t>
      </w:r>
      <w:r>
        <w:t>April</w:t>
      </w:r>
      <w:r w:rsidR="00CC6331">
        <w:t xml:space="preserve"> 201</w:t>
      </w:r>
      <w:r w:rsidR="00EB7A53">
        <w:t>7</w:t>
      </w:r>
    </w:p>
    <w:p w14:paraId="24663600" w14:textId="77777777" w:rsidR="00EB7A53" w:rsidRDefault="00EB7A53" w:rsidP="00EB7A53"/>
    <w:p w14:paraId="288E82E9" w14:textId="1E8999F2" w:rsidR="00EB7A53" w:rsidRPr="00C6310C" w:rsidRDefault="00EB7A53" w:rsidP="00EB7A53">
      <w:pPr>
        <w:rPr>
          <w:color w:val="FFFFFF" w:themeColor="background1"/>
        </w:rPr>
      </w:pPr>
      <w:r w:rsidRPr="00C6310C">
        <w:rPr>
          <w:color w:val="FFFFFF" w:themeColor="background1"/>
        </w:rPr>
        <w:t>Teleconference 1400-1520</w:t>
      </w:r>
    </w:p>
    <w:p w14:paraId="0C4BEB69" w14:textId="77777777" w:rsidR="00B73448" w:rsidRDefault="00B73448" w:rsidP="00033A96"/>
    <w:p w14:paraId="5792D211" w14:textId="77777777" w:rsidR="000E737E" w:rsidRDefault="000E737E" w:rsidP="000E737E">
      <w:pPr>
        <w:rPr>
          <w:color w:val="FFFFFF" w:themeColor="background1"/>
        </w:rPr>
      </w:pPr>
      <w:r w:rsidRPr="00EB4786">
        <w:rPr>
          <w:color w:val="FFFFFF" w:themeColor="background1"/>
        </w:rPr>
        <w:t>Note all meeting papers and record available on the PZJA webpage</w:t>
      </w:r>
      <w:r>
        <w:rPr>
          <w:color w:val="FFFFFF" w:themeColor="background1"/>
        </w:rPr>
        <w:t>:</w:t>
      </w:r>
    </w:p>
    <w:p w14:paraId="3691B57C" w14:textId="77777777" w:rsidR="000E737E" w:rsidRDefault="000E737E" w:rsidP="000E737E">
      <w:pPr>
        <w:rPr>
          <w:color w:val="FFFFFF" w:themeColor="background1"/>
        </w:rPr>
      </w:pPr>
      <w:r>
        <w:rPr>
          <w:color w:val="FFFFFF" w:themeColor="background1"/>
        </w:rPr>
        <w:t>www.pzja.gov.au</w:t>
      </w:r>
    </w:p>
    <w:p w14:paraId="0EEC31B0" w14:textId="77777777" w:rsidR="00033A96" w:rsidRDefault="00033A96" w:rsidP="00033A96"/>
    <w:p w14:paraId="163AE609" w14:textId="77777777" w:rsidR="00033A96" w:rsidRDefault="00033A96" w:rsidP="00033A96">
      <w:pPr>
        <w:tabs>
          <w:tab w:val="left" w:pos="1609"/>
        </w:tabs>
      </w:pPr>
      <w:r>
        <w:tab/>
      </w:r>
      <w:r>
        <w:rPr>
          <w:noProof/>
          <w:lang w:eastAsia="en-AU"/>
        </w:rPr>
        <w:drawing>
          <wp:inline distT="0" distB="0" distL="0" distR="0" wp14:anchorId="7722869B" wp14:editId="0292E644">
            <wp:extent cx="3329305" cy="570865"/>
            <wp:effectExtent l="0" t="0" r="0" b="635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F-AFMA_inlinestrip_WHIT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30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7AA7A" w14:textId="77777777" w:rsidR="00033A96" w:rsidRDefault="00033A96" w:rsidP="00033A96"/>
    <w:p w14:paraId="117407E7" w14:textId="77777777" w:rsidR="00281712" w:rsidRDefault="00281712" w:rsidP="00033A96"/>
    <w:p w14:paraId="2B5FECE1" w14:textId="77777777" w:rsidR="000C088C" w:rsidRDefault="000C088C" w:rsidP="00033A96">
      <w:pPr>
        <w:sectPr w:rsidR="000C088C" w:rsidSect="000E737E">
          <w:headerReference w:type="even" r:id="rId9"/>
          <w:headerReference w:type="default" r:id="rId10"/>
          <w:headerReference w:type="first" r:id="rId11"/>
          <w:pgSz w:w="11906" w:h="16838" w:code="9"/>
          <w:pgMar w:top="2977" w:right="5103" w:bottom="5103" w:left="1560" w:header="340" w:footer="624" w:gutter="0"/>
          <w:cols w:space="708"/>
          <w:docGrid w:linePitch="360"/>
        </w:sectPr>
      </w:pPr>
    </w:p>
    <w:sdt>
      <w:sdtPr>
        <w:rPr>
          <w:rFonts w:asciiTheme="minorHAnsi" w:eastAsiaTheme="minorHAnsi" w:hAnsiTheme="minorHAnsi" w:cstheme="minorBidi"/>
          <w:b w:val="0"/>
          <w:color w:val="auto"/>
          <w:spacing w:val="0"/>
          <w:sz w:val="24"/>
          <w:szCs w:val="22"/>
          <w:lang w:val="en-AU"/>
        </w:rPr>
        <w:id w:val="1856917536"/>
        <w:docPartObj>
          <w:docPartGallery w:val="Table of Contents"/>
          <w:docPartUnique/>
        </w:docPartObj>
      </w:sdtPr>
      <w:sdtEndPr>
        <w:rPr>
          <w:rFonts w:ascii="Arial" w:hAnsi="Arial"/>
          <w:color w:val="333333"/>
          <w:spacing w:val="-4"/>
        </w:rPr>
      </w:sdtEndPr>
      <w:sdtContent>
        <w:p w14:paraId="1A0F43EA" w14:textId="77777777" w:rsidR="00033A96" w:rsidRPr="00CD5B36" w:rsidRDefault="00033A96" w:rsidP="00CD5B36">
          <w:pPr>
            <w:pStyle w:val="TOCHeading"/>
            <w:ind w:left="-142"/>
            <w:rPr>
              <w:sz w:val="32"/>
            </w:rPr>
          </w:pPr>
          <w:r w:rsidRPr="00B56F1E">
            <w:rPr>
              <w:sz w:val="32"/>
            </w:rPr>
            <w:t>Contents</w:t>
          </w:r>
        </w:p>
        <w:p w14:paraId="4D9CDC4C" w14:textId="77777777" w:rsidR="006372E6" w:rsidRDefault="00033A96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color w:val="auto"/>
              <w:spacing w:val="0"/>
              <w:sz w:val="22"/>
              <w:lang w:eastAsia="en-AU"/>
            </w:rPr>
          </w:pPr>
          <w:r w:rsidRPr="008A70E1">
            <w:rPr>
              <w:rFonts w:asciiTheme="minorHAnsi" w:hAnsiTheme="minorHAnsi" w:cstheme="minorHAnsi"/>
              <w:color w:val="auto"/>
              <w:szCs w:val="24"/>
            </w:rPr>
            <w:fldChar w:fldCharType="begin"/>
          </w:r>
          <w:r w:rsidRPr="008A70E1">
            <w:rPr>
              <w:rFonts w:asciiTheme="minorHAnsi" w:hAnsiTheme="minorHAnsi" w:cstheme="minorHAnsi"/>
              <w:color w:val="auto"/>
              <w:szCs w:val="24"/>
            </w:rPr>
            <w:instrText xml:space="preserve"> TOC \h \z \t "Heading 2,1,Heading 3,2,Heading 4,3,Title,1,Heading 2 - Numbered,1,Heading 3  - Numbered,2,Heading 4 - Numbered,3" </w:instrText>
          </w:r>
          <w:r w:rsidRPr="008A70E1">
            <w:rPr>
              <w:rFonts w:asciiTheme="minorHAnsi" w:hAnsiTheme="minorHAnsi" w:cstheme="minorHAnsi"/>
              <w:color w:val="auto"/>
              <w:szCs w:val="24"/>
            </w:rPr>
            <w:fldChar w:fldCharType="separate"/>
          </w:r>
          <w:hyperlink w:anchor="_Toc479329939" w:history="1">
            <w:r w:rsidR="006372E6" w:rsidRPr="0090652C">
              <w:rPr>
                <w:rStyle w:val="Hyperlink"/>
                <w:noProof/>
              </w:rPr>
              <w:t>Meeting Participants</w:t>
            </w:r>
            <w:r w:rsidR="006372E6">
              <w:rPr>
                <w:noProof/>
                <w:webHidden/>
              </w:rPr>
              <w:tab/>
            </w:r>
            <w:r w:rsidR="006372E6">
              <w:rPr>
                <w:noProof/>
                <w:webHidden/>
              </w:rPr>
              <w:fldChar w:fldCharType="begin"/>
            </w:r>
            <w:r w:rsidR="006372E6">
              <w:rPr>
                <w:noProof/>
                <w:webHidden/>
              </w:rPr>
              <w:instrText xml:space="preserve"> PAGEREF _Toc479329939 \h </w:instrText>
            </w:r>
            <w:r w:rsidR="006372E6">
              <w:rPr>
                <w:noProof/>
                <w:webHidden/>
              </w:rPr>
            </w:r>
            <w:r w:rsidR="006372E6">
              <w:rPr>
                <w:noProof/>
                <w:webHidden/>
              </w:rPr>
              <w:fldChar w:fldCharType="separate"/>
            </w:r>
            <w:r w:rsidR="006372E6">
              <w:rPr>
                <w:noProof/>
                <w:webHidden/>
              </w:rPr>
              <w:t>3</w:t>
            </w:r>
            <w:r w:rsidR="006372E6">
              <w:rPr>
                <w:noProof/>
                <w:webHidden/>
              </w:rPr>
              <w:fldChar w:fldCharType="end"/>
            </w:r>
          </w:hyperlink>
        </w:p>
        <w:p w14:paraId="15BC1DEA" w14:textId="77777777" w:rsidR="006372E6" w:rsidRDefault="00420D82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color w:val="auto"/>
              <w:spacing w:val="0"/>
              <w:sz w:val="22"/>
              <w:lang w:eastAsia="en-AU"/>
            </w:rPr>
          </w:pPr>
          <w:hyperlink w:anchor="_Toc479329940" w:history="1">
            <w:r w:rsidR="006372E6" w:rsidRPr="0090652C">
              <w:rPr>
                <w:rStyle w:val="Hyperlink"/>
                <w:noProof/>
              </w:rPr>
              <w:t>Action items</w:t>
            </w:r>
            <w:r w:rsidR="006372E6">
              <w:rPr>
                <w:noProof/>
                <w:webHidden/>
              </w:rPr>
              <w:tab/>
            </w:r>
            <w:r w:rsidR="006372E6">
              <w:rPr>
                <w:noProof/>
                <w:webHidden/>
              </w:rPr>
              <w:fldChar w:fldCharType="begin"/>
            </w:r>
            <w:r w:rsidR="006372E6">
              <w:rPr>
                <w:noProof/>
                <w:webHidden/>
              </w:rPr>
              <w:instrText xml:space="preserve"> PAGEREF _Toc479329940 \h </w:instrText>
            </w:r>
            <w:r w:rsidR="006372E6">
              <w:rPr>
                <w:noProof/>
                <w:webHidden/>
              </w:rPr>
            </w:r>
            <w:r w:rsidR="006372E6">
              <w:rPr>
                <w:noProof/>
                <w:webHidden/>
              </w:rPr>
              <w:fldChar w:fldCharType="separate"/>
            </w:r>
            <w:r w:rsidR="006372E6">
              <w:rPr>
                <w:noProof/>
                <w:webHidden/>
              </w:rPr>
              <w:t>4</w:t>
            </w:r>
            <w:r w:rsidR="006372E6">
              <w:rPr>
                <w:noProof/>
                <w:webHidden/>
              </w:rPr>
              <w:fldChar w:fldCharType="end"/>
            </w:r>
          </w:hyperlink>
        </w:p>
        <w:p w14:paraId="6CD4465D" w14:textId="77777777" w:rsidR="006372E6" w:rsidRDefault="00420D82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color w:val="auto"/>
              <w:spacing w:val="0"/>
              <w:sz w:val="22"/>
              <w:lang w:eastAsia="en-AU"/>
            </w:rPr>
          </w:pPr>
          <w:hyperlink w:anchor="_Toc479329941" w:history="1">
            <w:r w:rsidR="006372E6" w:rsidRPr="0090652C">
              <w:rPr>
                <w:rStyle w:val="Hyperlink"/>
                <w:noProof/>
              </w:rPr>
              <w:t>Recommendations</w:t>
            </w:r>
            <w:r w:rsidR="006372E6">
              <w:rPr>
                <w:noProof/>
                <w:webHidden/>
              </w:rPr>
              <w:tab/>
            </w:r>
            <w:r w:rsidR="006372E6">
              <w:rPr>
                <w:noProof/>
                <w:webHidden/>
              </w:rPr>
              <w:fldChar w:fldCharType="begin"/>
            </w:r>
            <w:r w:rsidR="006372E6">
              <w:rPr>
                <w:noProof/>
                <w:webHidden/>
              </w:rPr>
              <w:instrText xml:space="preserve"> PAGEREF _Toc479329941 \h </w:instrText>
            </w:r>
            <w:r w:rsidR="006372E6">
              <w:rPr>
                <w:noProof/>
                <w:webHidden/>
              </w:rPr>
            </w:r>
            <w:r w:rsidR="006372E6">
              <w:rPr>
                <w:noProof/>
                <w:webHidden/>
              </w:rPr>
              <w:fldChar w:fldCharType="separate"/>
            </w:r>
            <w:r w:rsidR="006372E6">
              <w:rPr>
                <w:noProof/>
                <w:webHidden/>
              </w:rPr>
              <w:t>4</w:t>
            </w:r>
            <w:r w:rsidR="006372E6">
              <w:rPr>
                <w:noProof/>
                <w:webHidden/>
              </w:rPr>
              <w:fldChar w:fldCharType="end"/>
            </w:r>
          </w:hyperlink>
        </w:p>
        <w:p w14:paraId="269C4C02" w14:textId="77777777" w:rsidR="006372E6" w:rsidRDefault="00420D82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color w:val="auto"/>
              <w:spacing w:val="0"/>
              <w:sz w:val="22"/>
              <w:lang w:eastAsia="en-AU"/>
            </w:rPr>
          </w:pPr>
          <w:hyperlink w:anchor="_Toc479329942" w:history="1">
            <w:r w:rsidR="006372E6" w:rsidRPr="0090652C">
              <w:rPr>
                <w:rStyle w:val="Hyperlink"/>
                <w:noProof/>
              </w:rPr>
              <w:t>Preliminaries</w:t>
            </w:r>
            <w:r w:rsidR="006372E6">
              <w:rPr>
                <w:noProof/>
                <w:webHidden/>
              </w:rPr>
              <w:tab/>
            </w:r>
            <w:r w:rsidR="006372E6">
              <w:rPr>
                <w:noProof/>
                <w:webHidden/>
              </w:rPr>
              <w:fldChar w:fldCharType="begin"/>
            </w:r>
            <w:r w:rsidR="006372E6">
              <w:rPr>
                <w:noProof/>
                <w:webHidden/>
              </w:rPr>
              <w:instrText xml:space="preserve"> PAGEREF _Toc479329942 \h </w:instrText>
            </w:r>
            <w:r w:rsidR="006372E6">
              <w:rPr>
                <w:noProof/>
                <w:webHidden/>
              </w:rPr>
            </w:r>
            <w:r w:rsidR="006372E6">
              <w:rPr>
                <w:noProof/>
                <w:webHidden/>
              </w:rPr>
              <w:fldChar w:fldCharType="separate"/>
            </w:r>
            <w:r w:rsidR="006372E6">
              <w:rPr>
                <w:noProof/>
                <w:webHidden/>
              </w:rPr>
              <w:t>4</w:t>
            </w:r>
            <w:r w:rsidR="006372E6">
              <w:rPr>
                <w:noProof/>
                <w:webHidden/>
              </w:rPr>
              <w:fldChar w:fldCharType="end"/>
            </w:r>
          </w:hyperlink>
        </w:p>
        <w:p w14:paraId="551CA3B2" w14:textId="77777777" w:rsidR="006372E6" w:rsidRDefault="00420D82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color w:val="auto"/>
              <w:spacing w:val="0"/>
              <w:sz w:val="22"/>
              <w:lang w:eastAsia="en-AU"/>
            </w:rPr>
          </w:pPr>
          <w:hyperlink w:anchor="_Toc479329943" w:history="1">
            <w:r w:rsidR="006372E6" w:rsidRPr="0090652C">
              <w:rPr>
                <w:rStyle w:val="Hyperlink"/>
                <w:noProof/>
              </w:rPr>
              <w:t>Likely stock impacts from exceeding the Spanish Mackerel RBC in 2017-18</w:t>
            </w:r>
            <w:r w:rsidR="006372E6">
              <w:rPr>
                <w:noProof/>
                <w:webHidden/>
              </w:rPr>
              <w:tab/>
            </w:r>
            <w:r w:rsidR="006372E6">
              <w:rPr>
                <w:noProof/>
                <w:webHidden/>
              </w:rPr>
              <w:fldChar w:fldCharType="begin"/>
            </w:r>
            <w:r w:rsidR="006372E6">
              <w:rPr>
                <w:noProof/>
                <w:webHidden/>
              </w:rPr>
              <w:instrText xml:space="preserve"> PAGEREF _Toc479329943 \h </w:instrText>
            </w:r>
            <w:r w:rsidR="006372E6">
              <w:rPr>
                <w:noProof/>
                <w:webHidden/>
              </w:rPr>
            </w:r>
            <w:r w:rsidR="006372E6">
              <w:rPr>
                <w:noProof/>
                <w:webHidden/>
              </w:rPr>
              <w:fldChar w:fldCharType="separate"/>
            </w:r>
            <w:r w:rsidR="006372E6">
              <w:rPr>
                <w:noProof/>
                <w:webHidden/>
              </w:rPr>
              <w:t>4</w:t>
            </w:r>
            <w:r w:rsidR="006372E6">
              <w:rPr>
                <w:noProof/>
                <w:webHidden/>
              </w:rPr>
              <w:fldChar w:fldCharType="end"/>
            </w:r>
          </w:hyperlink>
        </w:p>
        <w:p w14:paraId="46C0BBA1" w14:textId="77777777" w:rsidR="006372E6" w:rsidRDefault="00420D82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color w:val="auto"/>
              <w:spacing w:val="0"/>
              <w:sz w:val="22"/>
              <w:lang w:eastAsia="en-AU"/>
            </w:rPr>
          </w:pPr>
          <w:hyperlink w:anchor="_Toc479329944" w:history="1">
            <w:r w:rsidR="006372E6" w:rsidRPr="0090652C">
              <w:rPr>
                <w:rStyle w:val="Hyperlink"/>
                <w:i/>
                <w:noProof/>
              </w:rPr>
              <w:t>Spanish mackerel subsistence catch and the proposed Total Allowable Catch limit</w:t>
            </w:r>
            <w:r w:rsidR="006372E6" w:rsidRPr="0090652C">
              <w:rPr>
                <w:rStyle w:val="Hyperlink"/>
                <w:noProof/>
              </w:rPr>
              <w:t xml:space="preserve"> (TSRA paper)</w:t>
            </w:r>
            <w:r w:rsidR="006372E6">
              <w:rPr>
                <w:noProof/>
                <w:webHidden/>
              </w:rPr>
              <w:tab/>
            </w:r>
            <w:r w:rsidR="006372E6">
              <w:rPr>
                <w:noProof/>
                <w:webHidden/>
              </w:rPr>
              <w:fldChar w:fldCharType="begin"/>
            </w:r>
            <w:r w:rsidR="006372E6">
              <w:rPr>
                <w:noProof/>
                <w:webHidden/>
              </w:rPr>
              <w:instrText xml:space="preserve"> PAGEREF _Toc479329944 \h </w:instrText>
            </w:r>
            <w:r w:rsidR="006372E6">
              <w:rPr>
                <w:noProof/>
                <w:webHidden/>
              </w:rPr>
            </w:r>
            <w:r w:rsidR="006372E6">
              <w:rPr>
                <w:noProof/>
                <w:webHidden/>
              </w:rPr>
              <w:fldChar w:fldCharType="separate"/>
            </w:r>
            <w:r w:rsidR="006372E6">
              <w:rPr>
                <w:noProof/>
                <w:webHidden/>
              </w:rPr>
              <w:t>7</w:t>
            </w:r>
            <w:r w:rsidR="006372E6">
              <w:rPr>
                <w:noProof/>
                <w:webHidden/>
              </w:rPr>
              <w:fldChar w:fldCharType="end"/>
            </w:r>
          </w:hyperlink>
        </w:p>
        <w:p w14:paraId="0EDB8BD1" w14:textId="77777777" w:rsidR="00033A96" w:rsidRPr="003D5B53" w:rsidRDefault="00033A96" w:rsidP="00426BFC">
          <w:pPr>
            <w:pStyle w:val="TOC1"/>
            <w:tabs>
              <w:tab w:val="right" w:leader="dot" w:pos="10054"/>
            </w:tabs>
          </w:pPr>
          <w:r w:rsidRPr="008A70E1">
            <w:fldChar w:fldCharType="end"/>
          </w:r>
        </w:p>
      </w:sdtContent>
    </w:sdt>
    <w:p w14:paraId="178F9005" w14:textId="77777777" w:rsidR="00063747" w:rsidRDefault="00063747">
      <w:pPr>
        <w:spacing w:before="0" w:after="200"/>
        <w:rPr>
          <w:rFonts w:eastAsiaTheme="majorEastAsia" w:cstheme="majorHAnsi"/>
          <w:b/>
          <w:bCs/>
          <w:color w:val="093E52"/>
          <w:spacing w:val="-4"/>
          <w:sz w:val="34"/>
          <w:szCs w:val="32"/>
        </w:rPr>
      </w:pPr>
      <w:r>
        <w:br w:type="page"/>
      </w:r>
    </w:p>
    <w:p w14:paraId="7994C10B" w14:textId="77777777" w:rsidR="00281712" w:rsidRDefault="00281712" w:rsidP="00281712">
      <w:pPr>
        <w:pStyle w:val="Heading2"/>
      </w:pPr>
      <w:bookmarkStart w:id="2" w:name="_Toc479329939"/>
      <w:r>
        <w:lastRenderedPageBreak/>
        <w:t>Meeting Participants</w:t>
      </w:r>
      <w:bookmarkEnd w:id="2"/>
    </w:p>
    <w:p w14:paraId="5ABEA9CC" w14:textId="10ACB5E8" w:rsidR="005C1F14" w:rsidRPr="006F13F7" w:rsidRDefault="005D3A75" w:rsidP="00281712">
      <w:pPr>
        <w:rPr>
          <w:b/>
        </w:rPr>
      </w:pPr>
      <w:r>
        <w:rPr>
          <w:b/>
        </w:rPr>
        <w:t>Attendance</w:t>
      </w:r>
    </w:p>
    <w:tbl>
      <w:tblPr>
        <w:tblStyle w:val="AFMA-default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3957"/>
      </w:tblGrid>
      <w:tr w:rsidR="009A6D8E" w:rsidRPr="0056261F" w14:paraId="777DFE3E" w14:textId="77777777" w:rsidTr="00091E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47" w:type="dxa"/>
          </w:tcPr>
          <w:p w14:paraId="5F84D90A" w14:textId="77777777" w:rsidR="009A6D8E" w:rsidRPr="0056261F" w:rsidRDefault="009A6D8E" w:rsidP="00281712">
            <w:pPr>
              <w:rPr>
                <w:b/>
                <w:sz w:val="22"/>
              </w:rPr>
            </w:pPr>
            <w:r w:rsidRPr="0056261F">
              <w:rPr>
                <w:b/>
                <w:sz w:val="22"/>
              </w:rPr>
              <w:t>Name</w:t>
            </w:r>
          </w:p>
        </w:tc>
        <w:tc>
          <w:tcPr>
            <w:tcW w:w="2268" w:type="dxa"/>
          </w:tcPr>
          <w:p w14:paraId="06873DFC" w14:textId="77777777" w:rsidR="009A6D8E" w:rsidRPr="0056261F" w:rsidRDefault="009A6D8E" w:rsidP="0028171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Organisation</w:t>
            </w:r>
          </w:p>
        </w:tc>
        <w:tc>
          <w:tcPr>
            <w:tcW w:w="3957" w:type="dxa"/>
          </w:tcPr>
          <w:p w14:paraId="0D61AEDD" w14:textId="77777777" w:rsidR="009A6D8E" w:rsidRPr="0056261F" w:rsidRDefault="009A6D8E" w:rsidP="00281712">
            <w:pPr>
              <w:rPr>
                <w:b/>
                <w:sz w:val="22"/>
              </w:rPr>
            </w:pPr>
            <w:r w:rsidRPr="0056261F">
              <w:rPr>
                <w:b/>
                <w:sz w:val="22"/>
              </w:rPr>
              <w:t>Declaration of interest</w:t>
            </w:r>
          </w:p>
        </w:tc>
      </w:tr>
      <w:tr w:rsidR="005D3A75" w:rsidRPr="0056261F" w14:paraId="6A3167D8" w14:textId="77777777" w:rsidTr="00091E51">
        <w:tc>
          <w:tcPr>
            <w:tcW w:w="2547" w:type="dxa"/>
          </w:tcPr>
          <w:p w14:paraId="73049EEC" w14:textId="7F0703A0" w:rsidR="005D3A75" w:rsidRDefault="005D3A75" w:rsidP="005D3A75">
            <w:pPr>
              <w:rPr>
                <w:sz w:val="22"/>
              </w:rPr>
            </w:pPr>
            <w:r w:rsidRPr="0056261F">
              <w:rPr>
                <w:sz w:val="22"/>
              </w:rPr>
              <w:t xml:space="preserve">Selina </w:t>
            </w:r>
            <w:proofErr w:type="spellStart"/>
            <w:r w:rsidRPr="0056261F">
              <w:rPr>
                <w:sz w:val="22"/>
              </w:rPr>
              <w:t>Stoute</w:t>
            </w:r>
            <w:proofErr w:type="spellEnd"/>
          </w:p>
        </w:tc>
        <w:tc>
          <w:tcPr>
            <w:tcW w:w="2268" w:type="dxa"/>
          </w:tcPr>
          <w:p w14:paraId="1351BFF8" w14:textId="2B449C8A" w:rsidR="005D3A75" w:rsidRDefault="005D3A75" w:rsidP="005D3A75">
            <w:pPr>
              <w:rPr>
                <w:sz w:val="22"/>
              </w:rPr>
            </w:pPr>
            <w:r>
              <w:rPr>
                <w:sz w:val="22"/>
              </w:rPr>
              <w:t>A/g Chair AFMA</w:t>
            </w:r>
          </w:p>
        </w:tc>
        <w:tc>
          <w:tcPr>
            <w:tcW w:w="3957" w:type="dxa"/>
          </w:tcPr>
          <w:p w14:paraId="423E46DD" w14:textId="1976CB32" w:rsidR="005D3A75" w:rsidRDefault="005D3A75" w:rsidP="005D3A75">
            <w:pPr>
              <w:rPr>
                <w:sz w:val="22"/>
              </w:rPr>
            </w:pPr>
            <w:r w:rsidRPr="005D3A75">
              <w:rPr>
                <w:sz w:val="22"/>
              </w:rPr>
              <w:t>Nil</w:t>
            </w:r>
          </w:p>
        </w:tc>
      </w:tr>
      <w:tr w:rsidR="005D3A75" w:rsidRPr="0056261F" w14:paraId="6CD7779D" w14:textId="77777777" w:rsidTr="00091E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47" w:type="dxa"/>
          </w:tcPr>
          <w:p w14:paraId="378F85F0" w14:textId="0209D556" w:rsidR="005D3A75" w:rsidRPr="0056261F" w:rsidRDefault="005D3A75" w:rsidP="005D3A75">
            <w:pPr>
              <w:rPr>
                <w:sz w:val="22"/>
              </w:rPr>
            </w:pPr>
            <w:r>
              <w:rPr>
                <w:sz w:val="22"/>
              </w:rPr>
              <w:t xml:space="preserve">Andrew </w:t>
            </w:r>
            <w:proofErr w:type="spellStart"/>
            <w:r>
              <w:rPr>
                <w:sz w:val="22"/>
              </w:rPr>
              <w:t>Trappett</w:t>
            </w:r>
            <w:proofErr w:type="spellEnd"/>
          </w:p>
        </w:tc>
        <w:tc>
          <w:tcPr>
            <w:tcW w:w="2268" w:type="dxa"/>
          </w:tcPr>
          <w:p w14:paraId="181213F1" w14:textId="4E4A00DC" w:rsidR="005D3A75" w:rsidRPr="0056261F" w:rsidRDefault="005D3A75" w:rsidP="005D3A75">
            <w:pPr>
              <w:rPr>
                <w:sz w:val="22"/>
              </w:rPr>
            </w:pPr>
            <w:r w:rsidRPr="005D3A75">
              <w:rPr>
                <w:sz w:val="22"/>
              </w:rPr>
              <w:t>AFMA, Meeting EO</w:t>
            </w:r>
          </w:p>
        </w:tc>
        <w:tc>
          <w:tcPr>
            <w:tcW w:w="3957" w:type="dxa"/>
          </w:tcPr>
          <w:p w14:paraId="29B3ABED" w14:textId="080FCFBE" w:rsidR="005D3A75" w:rsidRPr="0056261F" w:rsidRDefault="005D3A75" w:rsidP="005D3A75">
            <w:pPr>
              <w:rPr>
                <w:sz w:val="22"/>
              </w:rPr>
            </w:pPr>
            <w:r w:rsidRPr="005D3A75">
              <w:rPr>
                <w:sz w:val="22"/>
              </w:rPr>
              <w:t>Nil</w:t>
            </w:r>
          </w:p>
        </w:tc>
      </w:tr>
      <w:tr w:rsidR="005D3A75" w:rsidRPr="0056261F" w14:paraId="6BBBDC05" w14:textId="77777777" w:rsidTr="00091E51">
        <w:tc>
          <w:tcPr>
            <w:tcW w:w="2547" w:type="dxa"/>
          </w:tcPr>
          <w:p w14:paraId="2AAAA10A" w14:textId="61A17201" w:rsidR="005D3A75" w:rsidRPr="0056261F" w:rsidRDefault="005D3A75" w:rsidP="005D3A75">
            <w:pPr>
              <w:rPr>
                <w:sz w:val="22"/>
              </w:rPr>
            </w:pPr>
            <w:r>
              <w:rPr>
                <w:sz w:val="22"/>
              </w:rPr>
              <w:t>Dean Pease</w:t>
            </w:r>
          </w:p>
        </w:tc>
        <w:tc>
          <w:tcPr>
            <w:tcW w:w="2268" w:type="dxa"/>
          </w:tcPr>
          <w:p w14:paraId="6EF0C815" w14:textId="099F833B" w:rsidR="005D3A75" w:rsidRPr="005D3A75" w:rsidRDefault="005D3A75" w:rsidP="005D3A75">
            <w:pPr>
              <w:rPr>
                <w:sz w:val="22"/>
              </w:rPr>
            </w:pPr>
            <w:r w:rsidRPr="005D3A75">
              <w:rPr>
                <w:sz w:val="22"/>
              </w:rPr>
              <w:t>AFMA, EO support</w:t>
            </w:r>
          </w:p>
        </w:tc>
        <w:tc>
          <w:tcPr>
            <w:tcW w:w="3957" w:type="dxa"/>
          </w:tcPr>
          <w:p w14:paraId="2638CA76" w14:textId="477A335E" w:rsidR="005D3A75" w:rsidRPr="005D3A75" w:rsidRDefault="005D3A75" w:rsidP="005D3A75">
            <w:pPr>
              <w:rPr>
                <w:sz w:val="22"/>
              </w:rPr>
            </w:pPr>
            <w:r w:rsidRPr="005D3A75">
              <w:rPr>
                <w:sz w:val="22"/>
              </w:rPr>
              <w:t>Nil</w:t>
            </w:r>
          </w:p>
        </w:tc>
      </w:tr>
      <w:tr w:rsidR="005D3A75" w:rsidRPr="0056261F" w14:paraId="6531D7CF" w14:textId="77777777" w:rsidTr="00091E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47" w:type="dxa"/>
          </w:tcPr>
          <w:p w14:paraId="40089D7B" w14:textId="3748D3E7" w:rsidR="005D3A75" w:rsidRPr="0056261F" w:rsidRDefault="005D3A75" w:rsidP="005D3A75">
            <w:pPr>
              <w:rPr>
                <w:sz w:val="22"/>
              </w:rPr>
            </w:pPr>
            <w:r>
              <w:rPr>
                <w:sz w:val="22"/>
              </w:rPr>
              <w:t xml:space="preserve">Eva </w:t>
            </w:r>
            <w:proofErr w:type="spellStart"/>
            <w:r>
              <w:rPr>
                <w:sz w:val="22"/>
              </w:rPr>
              <w:t>Plaganyi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268" w:type="dxa"/>
          </w:tcPr>
          <w:p w14:paraId="258E5D5D" w14:textId="7FF61995" w:rsidR="005D3A75" w:rsidRPr="005D3A75" w:rsidRDefault="005D3A75" w:rsidP="005D3A75">
            <w:pPr>
              <w:rPr>
                <w:sz w:val="22"/>
              </w:rPr>
            </w:pPr>
            <w:r>
              <w:rPr>
                <w:sz w:val="22"/>
              </w:rPr>
              <w:t xml:space="preserve">CSIRO </w:t>
            </w:r>
          </w:p>
        </w:tc>
        <w:tc>
          <w:tcPr>
            <w:tcW w:w="3957" w:type="dxa"/>
          </w:tcPr>
          <w:p w14:paraId="1F407313" w14:textId="77777777" w:rsidR="005D3A75" w:rsidRDefault="005D3A75" w:rsidP="005D3A75">
            <w:pPr>
              <w:rPr>
                <w:sz w:val="22"/>
              </w:rPr>
            </w:pPr>
            <w:r>
              <w:rPr>
                <w:sz w:val="22"/>
              </w:rPr>
              <w:t>Research funding.</w:t>
            </w:r>
          </w:p>
          <w:p w14:paraId="61A07EEB" w14:textId="068B62D1" w:rsidR="005D3A75" w:rsidRPr="005D3A75" w:rsidRDefault="005D3A75" w:rsidP="005D3A75">
            <w:pPr>
              <w:rPr>
                <w:sz w:val="22"/>
              </w:rPr>
            </w:pPr>
            <w:r>
              <w:rPr>
                <w:sz w:val="22"/>
              </w:rPr>
              <w:t>Principal scientist for TSSAC project to develop a harvest strategy for the Torres Strait Beche-de-mer Fishery.</w:t>
            </w:r>
          </w:p>
        </w:tc>
      </w:tr>
      <w:tr w:rsidR="005D3A75" w:rsidRPr="0056261F" w14:paraId="22B5AEED" w14:textId="77777777" w:rsidTr="00091E51">
        <w:tc>
          <w:tcPr>
            <w:tcW w:w="2547" w:type="dxa"/>
          </w:tcPr>
          <w:p w14:paraId="20F48CC7" w14:textId="77777777" w:rsidR="005D3A75" w:rsidRPr="0056261F" w:rsidRDefault="005D3A75" w:rsidP="005D3A75">
            <w:pPr>
              <w:rPr>
                <w:sz w:val="22"/>
              </w:rPr>
            </w:pPr>
            <w:r w:rsidRPr="0056261F">
              <w:rPr>
                <w:sz w:val="22"/>
              </w:rPr>
              <w:t xml:space="preserve">Tom Roberts </w:t>
            </w:r>
          </w:p>
        </w:tc>
        <w:tc>
          <w:tcPr>
            <w:tcW w:w="2268" w:type="dxa"/>
          </w:tcPr>
          <w:p w14:paraId="60C96391" w14:textId="77777777" w:rsidR="005D3A75" w:rsidRPr="005D3A75" w:rsidRDefault="005D3A75" w:rsidP="005D3A75">
            <w:pPr>
              <w:rPr>
                <w:sz w:val="22"/>
              </w:rPr>
            </w:pPr>
            <w:r w:rsidRPr="005D3A75">
              <w:rPr>
                <w:sz w:val="22"/>
              </w:rPr>
              <w:t>DAF QLD</w:t>
            </w:r>
          </w:p>
        </w:tc>
        <w:tc>
          <w:tcPr>
            <w:tcW w:w="3957" w:type="dxa"/>
          </w:tcPr>
          <w:p w14:paraId="28FD9123" w14:textId="77777777" w:rsidR="005D3A75" w:rsidRPr="005D3A75" w:rsidRDefault="005D3A75" w:rsidP="005D3A75">
            <w:pPr>
              <w:rPr>
                <w:sz w:val="22"/>
              </w:rPr>
            </w:pPr>
            <w:r w:rsidRPr="005D3A75">
              <w:rPr>
                <w:sz w:val="22"/>
              </w:rPr>
              <w:t>Nil</w:t>
            </w:r>
          </w:p>
        </w:tc>
      </w:tr>
      <w:tr w:rsidR="005D3A75" w:rsidRPr="0056261F" w14:paraId="0D762884" w14:textId="77777777" w:rsidTr="00091E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47" w:type="dxa"/>
          </w:tcPr>
          <w:p w14:paraId="585B6155" w14:textId="250C2F4D" w:rsidR="005D3A75" w:rsidRPr="0056261F" w:rsidRDefault="005D3A75" w:rsidP="005D3A75">
            <w:pPr>
              <w:rPr>
                <w:sz w:val="22"/>
              </w:rPr>
            </w:pPr>
            <w:r w:rsidRPr="0056261F">
              <w:rPr>
                <w:sz w:val="22"/>
              </w:rPr>
              <w:t>John Ramsay</w:t>
            </w:r>
          </w:p>
        </w:tc>
        <w:tc>
          <w:tcPr>
            <w:tcW w:w="2268" w:type="dxa"/>
          </w:tcPr>
          <w:p w14:paraId="44B1CCC0" w14:textId="5F7F553E" w:rsidR="005D3A75" w:rsidRPr="005D3A75" w:rsidRDefault="005D3A75" w:rsidP="005D3A75">
            <w:pPr>
              <w:rPr>
                <w:sz w:val="22"/>
              </w:rPr>
            </w:pPr>
            <w:r w:rsidRPr="005D3A75">
              <w:rPr>
                <w:sz w:val="22"/>
              </w:rPr>
              <w:t>TSRA</w:t>
            </w:r>
          </w:p>
        </w:tc>
        <w:tc>
          <w:tcPr>
            <w:tcW w:w="3957" w:type="dxa"/>
          </w:tcPr>
          <w:p w14:paraId="7408B78A" w14:textId="32F6152C" w:rsidR="005D3A75" w:rsidRPr="005D3A75" w:rsidRDefault="005D3A75" w:rsidP="005D3A75">
            <w:pPr>
              <w:rPr>
                <w:sz w:val="22"/>
              </w:rPr>
            </w:pPr>
            <w:r w:rsidRPr="005D3A75">
              <w:rPr>
                <w:sz w:val="22"/>
              </w:rPr>
              <w:t xml:space="preserve">Nil </w:t>
            </w:r>
          </w:p>
        </w:tc>
      </w:tr>
      <w:tr w:rsidR="005D3A75" w:rsidRPr="0056261F" w14:paraId="1038A832" w14:textId="77777777" w:rsidTr="00091E51">
        <w:tc>
          <w:tcPr>
            <w:tcW w:w="2547" w:type="dxa"/>
          </w:tcPr>
          <w:p w14:paraId="2F049151" w14:textId="77777777" w:rsidR="005D3A75" w:rsidRPr="0056261F" w:rsidRDefault="005D3A75" w:rsidP="005D3A75">
            <w:pPr>
              <w:rPr>
                <w:sz w:val="22"/>
              </w:rPr>
            </w:pPr>
            <w:r w:rsidRPr="0056261F">
              <w:rPr>
                <w:sz w:val="22"/>
              </w:rPr>
              <w:t xml:space="preserve">Mariana </w:t>
            </w:r>
            <w:proofErr w:type="spellStart"/>
            <w:r w:rsidRPr="0056261F">
              <w:rPr>
                <w:sz w:val="22"/>
              </w:rPr>
              <w:t>Nahas</w:t>
            </w:r>
            <w:proofErr w:type="spellEnd"/>
          </w:p>
        </w:tc>
        <w:tc>
          <w:tcPr>
            <w:tcW w:w="2268" w:type="dxa"/>
          </w:tcPr>
          <w:p w14:paraId="5D479462" w14:textId="77777777" w:rsidR="005D3A75" w:rsidRPr="005D3A75" w:rsidRDefault="005D3A75" w:rsidP="005D3A75">
            <w:pPr>
              <w:rPr>
                <w:sz w:val="22"/>
              </w:rPr>
            </w:pPr>
            <w:r w:rsidRPr="005D3A75">
              <w:rPr>
                <w:sz w:val="22"/>
              </w:rPr>
              <w:t xml:space="preserve">TSRA </w:t>
            </w:r>
          </w:p>
        </w:tc>
        <w:tc>
          <w:tcPr>
            <w:tcW w:w="3957" w:type="dxa"/>
          </w:tcPr>
          <w:p w14:paraId="1E146A24" w14:textId="77777777" w:rsidR="005D3A75" w:rsidRPr="005D3A75" w:rsidRDefault="005D3A75" w:rsidP="005D3A75">
            <w:pPr>
              <w:rPr>
                <w:sz w:val="22"/>
              </w:rPr>
            </w:pPr>
            <w:r w:rsidRPr="005D3A75">
              <w:rPr>
                <w:sz w:val="22"/>
              </w:rPr>
              <w:t>Nil</w:t>
            </w:r>
          </w:p>
        </w:tc>
      </w:tr>
      <w:tr w:rsidR="005D3A75" w:rsidRPr="0056261F" w14:paraId="03ED4D23" w14:textId="77777777" w:rsidTr="00091E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47" w:type="dxa"/>
          </w:tcPr>
          <w:p w14:paraId="320D10E4" w14:textId="67BE31F0" w:rsidR="005D3A75" w:rsidRPr="0056261F" w:rsidRDefault="005D3A75" w:rsidP="005D3A75">
            <w:pPr>
              <w:rPr>
                <w:sz w:val="22"/>
              </w:rPr>
            </w:pPr>
            <w:r>
              <w:rPr>
                <w:sz w:val="22"/>
              </w:rPr>
              <w:t>John Mathews</w:t>
            </w:r>
          </w:p>
        </w:tc>
        <w:tc>
          <w:tcPr>
            <w:tcW w:w="2268" w:type="dxa"/>
          </w:tcPr>
          <w:p w14:paraId="3A4DCFDF" w14:textId="068EB003" w:rsidR="005D3A75" w:rsidRPr="005D3A75" w:rsidRDefault="005D3A75" w:rsidP="005D3A75">
            <w:pPr>
              <w:rPr>
                <w:sz w:val="22"/>
              </w:rPr>
            </w:pPr>
            <w:r w:rsidRPr="005D3A75">
              <w:rPr>
                <w:sz w:val="22"/>
              </w:rPr>
              <w:t>TSRA</w:t>
            </w:r>
          </w:p>
        </w:tc>
        <w:tc>
          <w:tcPr>
            <w:tcW w:w="3957" w:type="dxa"/>
          </w:tcPr>
          <w:p w14:paraId="562C7E12" w14:textId="53A99FA6" w:rsidR="005D3A75" w:rsidRPr="005D3A75" w:rsidRDefault="005D3A75" w:rsidP="005D3A75">
            <w:pPr>
              <w:rPr>
                <w:sz w:val="22"/>
              </w:rPr>
            </w:pPr>
            <w:r w:rsidRPr="005D3A75">
              <w:rPr>
                <w:sz w:val="22"/>
              </w:rPr>
              <w:t>Nil</w:t>
            </w:r>
          </w:p>
        </w:tc>
      </w:tr>
      <w:tr w:rsidR="005D3A75" w:rsidRPr="0056261F" w14:paraId="1C0A95C0" w14:textId="77777777" w:rsidTr="00091E51">
        <w:tc>
          <w:tcPr>
            <w:tcW w:w="2547" w:type="dxa"/>
          </w:tcPr>
          <w:p w14:paraId="15DEB310" w14:textId="32B61121" w:rsidR="005D3A75" w:rsidRPr="0056261F" w:rsidRDefault="005D3A75" w:rsidP="005D3A75">
            <w:pPr>
              <w:rPr>
                <w:sz w:val="22"/>
              </w:rPr>
            </w:pPr>
            <w:r>
              <w:rPr>
                <w:sz w:val="22"/>
              </w:rPr>
              <w:t>Jerry Stephen</w:t>
            </w:r>
          </w:p>
        </w:tc>
        <w:tc>
          <w:tcPr>
            <w:tcW w:w="2268" w:type="dxa"/>
          </w:tcPr>
          <w:p w14:paraId="1B88295B" w14:textId="0DBBFA67" w:rsidR="005D3A75" w:rsidRPr="0056261F" w:rsidRDefault="005D3A75" w:rsidP="005D3A75">
            <w:pPr>
              <w:rPr>
                <w:sz w:val="22"/>
              </w:rPr>
            </w:pPr>
            <w:r>
              <w:rPr>
                <w:sz w:val="22"/>
              </w:rPr>
              <w:t>TSRA, Fisheries Portfolio Member</w:t>
            </w:r>
          </w:p>
        </w:tc>
        <w:tc>
          <w:tcPr>
            <w:tcW w:w="3957" w:type="dxa"/>
          </w:tcPr>
          <w:p w14:paraId="52F310D2" w14:textId="77777777" w:rsidR="005D3A75" w:rsidRDefault="005D3A75" w:rsidP="005D3A75">
            <w:pPr>
              <w:rPr>
                <w:sz w:val="22"/>
              </w:rPr>
            </w:pPr>
            <w:r>
              <w:rPr>
                <w:sz w:val="22"/>
              </w:rPr>
              <w:t xml:space="preserve">TIB licence holder. Traditional Owner, Ugar Island. </w:t>
            </w:r>
          </w:p>
          <w:p w14:paraId="51D92A72" w14:textId="77777777" w:rsidR="005D3A75" w:rsidRDefault="005D3A75" w:rsidP="005D3A75">
            <w:pPr>
              <w:rPr>
                <w:sz w:val="22"/>
              </w:rPr>
            </w:pPr>
            <w:r>
              <w:rPr>
                <w:sz w:val="22"/>
              </w:rPr>
              <w:t>Member, Fisheries Quota Management Committee</w:t>
            </w:r>
          </w:p>
          <w:p w14:paraId="51A758E8" w14:textId="133E2F4F" w:rsidR="005D3A75" w:rsidRPr="0056261F" w:rsidRDefault="005D3A75" w:rsidP="005D3A75">
            <w:pPr>
              <w:rPr>
                <w:sz w:val="22"/>
              </w:rPr>
            </w:pPr>
            <w:r>
              <w:rPr>
                <w:sz w:val="22"/>
              </w:rPr>
              <w:t>Deputy chair TSRA</w:t>
            </w:r>
          </w:p>
        </w:tc>
      </w:tr>
      <w:tr w:rsidR="005D3A75" w:rsidRPr="0056261F" w14:paraId="067AE371" w14:textId="77777777" w:rsidTr="00091E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47" w:type="dxa"/>
          </w:tcPr>
          <w:p w14:paraId="689933B8" w14:textId="77777777" w:rsidR="005D3A75" w:rsidRPr="0056261F" w:rsidRDefault="005D3A75" w:rsidP="005D3A75">
            <w:pPr>
              <w:rPr>
                <w:sz w:val="22"/>
              </w:rPr>
            </w:pPr>
            <w:r>
              <w:rPr>
                <w:sz w:val="22"/>
              </w:rPr>
              <w:t>Michael O’Neill</w:t>
            </w:r>
          </w:p>
        </w:tc>
        <w:tc>
          <w:tcPr>
            <w:tcW w:w="2268" w:type="dxa"/>
          </w:tcPr>
          <w:p w14:paraId="58620477" w14:textId="4E546B98" w:rsidR="005D3A75" w:rsidRPr="0056261F" w:rsidRDefault="005D3A75" w:rsidP="005D3A75">
            <w:pPr>
              <w:rPr>
                <w:sz w:val="22"/>
              </w:rPr>
            </w:pPr>
            <w:r>
              <w:rPr>
                <w:sz w:val="22"/>
              </w:rPr>
              <w:t>QDAF</w:t>
            </w:r>
          </w:p>
        </w:tc>
        <w:tc>
          <w:tcPr>
            <w:tcW w:w="3957" w:type="dxa"/>
          </w:tcPr>
          <w:p w14:paraId="43523547" w14:textId="77777777" w:rsidR="005D3A75" w:rsidRDefault="005D3A75" w:rsidP="005D3A75">
            <w:pPr>
              <w:rPr>
                <w:sz w:val="22"/>
              </w:rPr>
            </w:pPr>
            <w:r>
              <w:rPr>
                <w:sz w:val="22"/>
              </w:rPr>
              <w:t xml:space="preserve">Research funding. </w:t>
            </w:r>
          </w:p>
          <w:p w14:paraId="43D2BBC9" w14:textId="77777777" w:rsidR="005D3A75" w:rsidRPr="0056261F" w:rsidRDefault="005D3A75" w:rsidP="005D3A75">
            <w:pPr>
              <w:rPr>
                <w:sz w:val="22"/>
              </w:rPr>
            </w:pPr>
            <w:r>
              <w:rPr>
                <w:sz w:val="22"/>
              </w:rPr>
              <w:t>Principal scientist for TSSAC project to develop a harvest strategy for the Torres Strait Finfish Fishery.</w:t>
            </w:r>
          </w:p>
        </w:tc>
      </w:tr>
      <w:tr w:rsidR="005D3A75" w:rsidRPr="0056261F" w14:paraId="11BA239F" w14:textId="77777777" w:rsidTr="00091E51">
        <w:tc>
          <w:tcPr>
            <w:tcW w:w="2547" w:type="dxa"/>
          </w:tcPr>
          <w:p w14:paraId="33741C3A" w14:textId="77777777" w:rsidR="005D3A75" w:rsidRPr="0056261F" w:rsidRDefault="005D3A75" w:rsidP="005D3A75">
            <w:pPr>
              <w:rPr>
                <w:sz w:val="22"/>
              </w:rPr>
            </w:pPr>
            <w:r>
              <w:rPr>
                <w:sz w:val="22"/>
              </w:rPr>
              <w:t>David Brewer</w:t>
            </w:r>
          </w:p>
        </w:tc>
        <w:tc>
          <w:tcPr>
            <w:tcW w:w="2268" w:type="dxa"/>
          </w:tcPr>
          <w:p w14:paraId="086B9D10" w14:textId="1EF36B2B" w:rsidR="005D3A75" w:rsidRPr="0056261F" w:rsidRDefault="005D3A75" w:rsidP="005D3A75">
            <w:pPr>
              <w:rPr>
                <w:sz w:val="22"/>
              </w:rPr>
            </w:pPr>
            <w:r>
              <w:rPr>
                <w:sz w:val="22"/>
              </w:rPr>
              <w:t xml:space="preserve">Upwelling P/L </w:t>
            </w:r>
          </w:p>
        </w:tc>
        <w:tc>
          <w:tcPr>
            <w:tcW w:w="3957" w:type="dxa"/>
          </w:tcPr>
          <w:p w14:paraId="237526F0" w14:textId="77777777" w:rsidR="005D3A75" w:rsidRDefault="005D3A75" w:rsidP="005D3A75">
            <w:pPr>
              <w:rPr>
                <w:sz w:val="22"/>
              </w:rPr>
            </w:pPr>
            <w:r>
              <w:rPr>
                <w:sz w:val="22"/>
              </w:rPr>
              <w:t xml:space="preserve">Research funding. </w:t>
            </w:r>
          </w:p>
          <w:p w14:paraId="60637A89" w14:textId="77777777" w:rsidR="005D3A75" w:rsidRDefault="005D3A75" w:rsidP="005D3A75">
            <w:pPr>
              <w:rPr>
                <w:sz w:val="22"/>
              </w:rPr>
            </w:pPr>
            <w:r>
              <w:rPr>
                <w:sz w:val="22"/>
              </w:rPr>
              <w:t>Principal scientist for TSSAC project to develop a harvest strategy for the Torres Strait Finfish Fishery.</w:t>
            </w:r>
          </w:p>
          <w:p w14:paraId="6360C032" w14:textId="77777777" w:rsidR="005D3A75" w:rsidRPr="0056261F" w:rsidRDefault="005D3A75" w:rsidP="005D3A75">
            <w:pPr>
              <w:rPr>
                <w:sz w:val="22"/>
              </w:rPr>
            </w:pPr>
            <w:r>
              <w:rPr>
                <w:sz w:val="22"/>
              </w:rPr>
              <w:t>Previous CSIRO researcher for TSSAC project investigating traditional take of finfish in Torres Strait.</w:t>
            </w:r>
          </w:p>
        </w:tc>
      </w:tr>
      <w:tr w:rsidR="005D3A75" w:rsidRPr="0056261F" w14:paraId="57DD6C6D" w14:textId="77777777" w:rsidTr="00091E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47" w:type="dxa"/>
          </w:tcPr>
          <w:p w14:paraId="2CF53BFE" w14:textId="77777777" w:rsidR="005D3A75" w:rsidRPr="0056261F" w:rsidRDefault="005D3A75" w:rsidP="005D3A75">
            <w:pPr>
              <w:rPr>
                <w:sz w:val="22"/>
              </w:rPr>
            </w:pPr>
            <w:r w:rsidRPr="0056261F">
              <w:rPr>
                <w:sz w:val="22"/>
              </w:rPr>
              <w:t>Kenny Bedford</w:t>
            </w:r>
          </w:p>
        </w:tc>
        <w:tc>
          <w:tcPr>
            <w:tcW w:w="2268" w:type="dxa"/>
          </w:tcPr>
          <w:p w14:paraId="570B3FB6" w14:textId="6E7340FD" w:rsidR="005D3A75" w:rsidRPr="0056261F" w:rsidRDefault="005D3A75" w:rsidP="005D3A75">
            <w:pPr>
              <w:rPr>
                <w:sz w:val="22"/>
              </w:rPr>
            </w:pPr>
            <w:r>
              <w:rPr>
                <w:sz w:val="22"/>
              </w:rPr>
              <w:t>Industry</w:t>
            </w:r>
          </w:p>
        </w:tc>
        <w:tc>
          <w:tcPr>
            <w:tcW w:w="3957" w:type="dxa"/>
          </w:tcPr>
          <w:p w14:paraId="65980B0C" w14:textId="77777777" w:rsidR="005D3A75" w:rsidRDefault="005D3A75" w:rsidP="005D3A75">
            <w:pPr>
              <w:rPr>
                <w:sz w:val="22"/>
              </w:rPr>
            </w:pPr>
            <w:r>
              <w:rPr>
                <w:sz w:val="22"/>
              </w:rPr>
              <w:t>TIB licence holder.</w:t>
            </w:r>
          </w:p>
          <w:p w14:paraId="14ECB4B6" w14:textId="77777777" w:rsidR="005D3A75" w:rsidRPr="0056261F" w:rsidRDefault="005D3A75" w:rsidP="005D3A75">
            <w:pPr>
              <w:rPr>
                <w:sz w:val="22"/>
              </w:rPr>
            </w:pPr>
            <w:r>
              <w:rPr>
                <w:sz w:val="22"/>
              </w:rPr>
              <w:t xml:space="preserve">President - </w:t>
            </w:r>
            <w:proofErr w:type="spellStart"/>
            <w:r w:rsidRPr="0056261F">
              <w:rPr>
                <w:sz w:val="22"/>
              </w:rPr>
              <w:t>Erub</w:t>
            </w:r>
            <w:proofErr w:type="spellEnd"/>
            <w:r w:rsidRPr="0056261F">
              <w:rPr>
                <w:sz w:val="22"/>
              </w:rPr>
              <w:t xml:space="preserve"> Fisheries </w:t>
            </w:r>
            <w:r>
              <w:rPr>
                <w:sz w:val="22"/>
              </w:rPr>
              <w:t>Management Association</w:t>
            </w:r>
          </w:p>
        </w:tc>
      </w:tr>
      <w:tr w:rsidR="005D3A75" w:rsidRPr="0056261F" w14:paraId="4C1C72DA" w14:textId="77777777" w:rsidTr="00091E51">
        <w:tc>
          <w:tcPr>
            <w:tcW w:w="2547" w:type="dxa"/>
          </w:tcPr>
          <w:p w14:paraId="64958848" w14:textId="55077E57" w:rsidR="005D3A75" w:rsidRPr="0056261F" w:rsidRDefault="005D3A75" w:rsidP="005D3A75">
            <w:pPr>
              <w:rPr>
                <w:sz w:val="22"/>
              </w:rPr>
            </w:pPr>
            <w:r>
              <w:rPr>
                <w:sz w:val="22"/>
              </w:rPr>
              <w:t>Tony Vass</w:t>
            </w:r>
          </w:p>
        </w:tc>
        <w:tc>
          <w:tcPr>
            <w:tcW w:w="2268" w:type="dxa"/>
          </w:tcPr>
          <w:p w14:paraId="579A2791" w14:textId="1B86B6C9" w:rsidR="005D3A75" w:rsidRPr="0056261F" w:rsidRDefault="005D3A75" w:rsidP="005D3A75">
            <w:pPr>
              <w:rPr>
                <w:sz w:val="22"/>
              </w:rPr>
            </w:pPr>
            <w:r w:rsidRPr="0056261F">
              <w:rPr>
                <w:sz w:val="22"/>
              </w:rPr>
              <w:t>Industry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957" w:type="dxa"/>
          </w:tcPr>
          <w:p w14:paraId="4FECD7B7" w14:textId="1A1EF512" w:rsidR="005D3A75" w:rsidRPr="0056261F" w:rsidRDefault="005D3A75" w:rsidP="005D3A75">
            <w:pPr>
              <w:rPr>
                <w:sz w:val="22"/>
              </w:rPr>
            </w:pPr>
            <w:r>
              <w:rPr>
                <w:sz w:val="22"/>
              </w:rPr>
              <w:t xml:space="preserve">Nil. Does not own or operate a licence in Torres Strait.  Holds Queensland East Coast quota for coral trout and ‘other’ finfish species. </w:t>
            </w:r>
          </w:p>
        </w:tc>
      </w:tr>
    </w:tbl>
    <w:p w14:paraId="2190D40B" w14:textId="28374B6F" w:rsidR="00266C90" w:rsidRDefault="00654662" w:rsidP="00266C90">
      <w:pPr>
        <w:pStyle w:val="Heading2"/>
      </w:pPr>
      <w:bookmarkStart w:id="3" w:name="_Toc479329940"/>
      <w:r>
        <w:lastRenderedPageBreak/>
        <w:t>Action i</w:t>
      </w:r>
      <w:r w:rsidR="00266C90">
        <w:t>tems</w:t>
      </w:r>
      <w:bookmarkEnd w:id="3"/>
      <w:r w:rsidR="008A7721">
        <w:t xml:space="preserve"> </w:t>
      </w:r>
    </w:p>
    <w:tbl>
      <w:tblPr>
        <w:tblStyle w:val="AFMA-default"/>
        <w:tblW w:w="0" w:type="auto"/>
        <w:tblLook w:val="04A0" w:firstRow="1" w:lastRow="0" w:firstColumn="1" w:lastColumn="0" w:noHBand="0" w:noVBand="1"/>
      </w:tblPr>
      <w:tblGrid>
        <w:gridCol w:w="1123"/>
        <w:gridCol w:w="8505"/>
      </w:tblGrid>
      <w:tr w:rsidR="002F0F67" w14:paraId="3C072678" w14:textId="77777777" w:rsidTr="002977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23" w:type="dxa"/>
          </w:tcPr>
          <w:p w14:paraId="090F9FB8" w14:textId="77777777" w:rsidR="002F0F67" w:rsidRPr="002F0F67" w:rsidRDefault="002F0F67">
            <w:pPr>
              <w:rPr>
                <w:b/>
              </w:rPr>
            </w:pPr>
            <w:r w:rsidRPr="002F0F67">
              <w:rPr>
                <w:b/>
              </w:rPr>
              <w:t>Number</w:t>
            </w:r>
          </w:p>
        </w:tc>
        <w:tc>
          <w:tcPr>
            <w:tcW w:w="8505" w:type="dxa"/>
          </w:tcPr>
          <w:p w14:paraId="376F1862" w14:textId="77777777" w:rsidR="002F0F67" w:rsidRPr="002F0F67" w:rsidRDefault="002F0F67">
            <w:pPr>
              <w:rPr>
                <w:b/>
              </w:rPr>
            </w:pPr>
            <w:r w:rsidRPr="002F0F67">
              <w:rPr>
                <w:b/>
              </w:rPr>
              <w:t>Action</w:t>
            </w:r>
          </w:p>
        </w:tc>
      </w:tr>
      <w:tr w:rsidR="002F0F67" w14:paraId="464401E3" w14:textId="77777777" w:rsidTr="002977FC">
        <w:tc>
          <w:tcPr>
            <w:tcW w:w="1123" w:type="dxa"/>
          </w:tcPr>
          <w:p w14:paraId="795B8C47" w14:textId="77777777" w:rsidR="002F0F67" w:rsidRPr="002F0F67" w:rsidRDefault="002F0F67" w:rsidP="00872BC1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8505" w:type="dxa"/>
          </w:tcPr>
          <w:p w14:paraId="482172F5" w14:textId="65A798C4" w:rsidR="002F0F67" w:rsidRPr="00802669" w:rsidRDefault="006372E6" w:rsidP="00654662">
            <w:pPr>
              <w:spacing w:before="0" w:after="0"/>
              <w:jc w:val="both"/>
              <w:rPr>
                <w:highlight w:val="yellow"/>
              </w:rPr>
            </w:pPr>
            <w:r>
              <w:t xml:space="preserve">AFMA and TSRA to provide the subsistence catch calculations drawn from </w:t>
            </w:r>
            <w:r>
              <w:rPr>
                <w:i/>
              </w:rPr>
              <w:t xml:space="preserve">Busilacchi 2008 </w:t>
            </w:r>
            <w:r>
              <w:t>work out-of-session and confirm the final reported subsistence catch estimate.</w:t>
            </w:r>
          </w:p>
        </w:tc>
      </w:tr>
    </w:tbl>
    <w:p w14:paraId="3A0935FC" w14:textId="2E7D2D11" w:rsidR="00593354" w:rsidRDefault="00593354" w:rsidP="00593354">
      <w:pPr>
        <w:pStyle w:val="Heading2"/>
      </w:pPr>
      <w:bookmarkStart w:id="4" w:name="_Toc479329941"/>
      <w:r>
        <w:t>Recommendations</w:t>
      </w:r>
      <w:bookmarkEnd w:id="4"/>
      <w:r w:rsidR="008A7721">
        <w:t xml:space="preserve"> </w:t>
      </w:r>
    </w:p>
    <w:tbl>
      <w:tblPr>
        <w:tblStyle w:val="AFMA-default"/>
        <w:tblW w:w="0" w:type="auto"/>
        <w:tblLook w:val="04A0" w:firstRow="1" w:lastRow="0" w:firstColumn="1" w:lastColumn="0" w:noHBand="0" w:noVBand="1"/>
      </w:tblPr>
      <w:tblGrid>
        <w:gridCol w:w="1123"/>
        <w:gridCol w:w="8505"/>
      </w:tblGrid>
      <w:tr w:rsidR="00593354" w14:paraId="4DD015BA" w14:textId="77777777" w:rsidTr="00091E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23" w:type="dxa"/>
          </w:tcPr>
          <w:p w14:paraId="0E68DA31" w14:textId="77777777" w:rsidR="00593354" w:rsidRPr="002F0F67" w:rsidRDefault="00593354" w:rsidP="00F327EF">
            <w:pPr>
              <w:rPr>
                <w:b/>
              </w:rPr>
            </w:pPr>
            <w:r w:rsidRPr="002F0F67">
              <w:rPr>
                <w:b/>
              </w:rPr>
              <w:t>Number</w:t>
            </w:r>
          </w:p>
        </w:tc>
        <w:tc>
          <w:tcPr>
            <w:tcW w:w="8505" w:type="dxa"/>
          </w:tcPr>
          <w:p w14:paraId="678754E0" w14:textId="77777777" w:rsidR="00593354" w:rsidRPr="002F0F67" w:rsidRDefault="00593354" w:rsidP="00F327EF">
            <w:pPr>
              <w:rPr>
                <w:b/>
              </w:rPr>
            </w:pPr>
            <w:r>
              <w:rPr>
                <w:b/>
              </w:rPr>
              <w:t>Recommendation</w:t>
            </w:r>
          </w:p>
        </w:tc>
      </w:tr>
      <w:tr w:rsidR="00593354" w14:paraId="063D24D6" w14:textId="77777777" w:rsidTr="00091E51">
        <w:tc>
          <w:tcPr>
            <w:tcW w:w="1123" w:type="dxa"/>
          </w:tcPr>
          <w:p w14:paraId="42DE602E" w14:textId="77777777" w:rsidR="00593354" w:rsidRPr="008A7721" w:rsidRDefault="00593354" w:rsidP="003C2D79">
            <w:pPr>
              <w:pStyle w:val="ListParagraph"/>
              <w:numPr>
                <w:ilvl w:val="0"/>
                <w:numId w:val="10"/>
              </w:numPr>
              <w:rPr>
                <w:sz w:val="22"/>
              </w:rPr>
            </w:pPr>
          </w:p>
        </w:tc>
        <w:tc>
          <w:tcPr>
            <w:tcW w:w="8505" w:type="dxa"/>
          </w:tcPr>
          <w:p w14:paraId="623330F7" w14:textId="119D38F7" w:rsidR="006372E6" w:rsidRPr="002D1560" w:rsidRDefault="006372E6" w:rsidP="006372E6">
            <w:pPr>
              <w:rPr>
                <w:szCs w:val="24"/>
              </w:rPr>
            </w:pPr>
            <w:r>
              <w:rPr>
                <w:szCs w:val="24"/>
              </w:rPr>
              <w:t xml:space="preserve">Total Allowable Catch </w:t>
            </w:r>
            <w:r w:rsidRPr="00EB7A53">
              <w:rPr>
                <w:rFonts w:cs="Arial"/>
              </w:rPr>
              <w:t>for the 2017/18 fish</w:t>
            </w:r>
            <w:r>
              <w:rPr>
                <w:rFonts w:cs="Arial"/>
              </w:rPr>
              <w:t>ing season</w:t>
            </w:r>
            <w:r>
              <w:rPr>
                <w:szCs w:val="24"/>
              </w:rPr>
              <w:t xml:space="preserve"> to</w:t>
            </w:r>
            <w:r w:rsidRPr="002D1560">
              <w:rPr>
                <w:szCs w:val="24"/>
              </w:rPr>
              <w:t xml:space="preserve"> remain at or below the 125</w:t>
            </w:r>
            <w:r>
              <w:rPr>
                <w:szCs w:val="24"/>
              </w:rPr>
              <w:t> </w:t>
            </w:r>
            <w:r w:rsidRPr="002D1560">
              <w:rPr>
                <w:szCs w:val="24"/>
              </w:rPr>
              <w:t>t RBC noting that:</w:t>
            </w:r>
          </w:p>
          <w:p w14:paraId="60EA647F" w14:textId="717C9E7C" w:rsidR="006372E6" w:rsidRPr="002D1560" w:rsidRDefault="006372E6" w:rsidP="006372E6">
            <w:pPr>
              <w:pStyle w:val="ListParagraph"/>
              <w:numPr>
                <w:ilvl w:val="0"/>
                <w:numId w:val="32"/>
              </w:numPr>
              <w:ind w:left="714" w:hanging="357"/>
              <w:contextualSpacing w:val="0"/>
              <w:rPr>
                <w:szCs w:val="24"/>
              </w:rPr>
            </w:pPr>
            <w:r>
              <w:rPr>
                <w:szCs w:val="24"/>
              </w:rPr>
              <w:t>due to uncertain catch estimates</w:t>
            </w:r>
            <w:r w:rsidRPr="002D1560">
              <w:rPr>
                <w:szCs w:val="24"/>
              </w:rPr>
              <w:t xml:space="preserve"> a precautionary approach should be adopted;</w:t>
            </w:r>
            <w:r>
              <w:rPr>
                <w:szCs w:val="24"/>
              </w:rPr>
              <w:t xml:space="preserve"> and</w:t>
            </w:r>
          </w:p>
          <w:p w14:paraId="49A62743" w14:textId="579F0F35" w:rsidR="00BB7C26" w:rsidRPr="006372E6" w:rsidRDefault="006372E6" w:rsidP="006372E6">
            <w:pPr>
              <w:pStyle w:val="ListParagraph"/>
              <w:numPr>
                <w:ilvl w:val="0"/>
                <w:numId w:val="32"/>
              </w:numPr>
              <w:ind w:left="714" w:hanging="357"/>
              <w:contextualSpacing w:val="0"/>
              <w:rPr>
                <w:rFonts w:cs="Arial"/>
                <w:sz w:val="22"/>
              </w:rPr>
            </w:pPr>
            <w:proofErr w:type="gramStart"/>
            <w:r w:rsidRPr="005A7E45">
              <w:rPr>
                <w:szCs w:val="24"/>
              </w:rPr>
              <w:t>it</w:t>
            </w:r>
            <w:proofErr w:type="gramEnd"/>
            <w:r w:rsidRPr="005A7E45">
              <w:rPr>
                <w:szCs w:val="24"/>
              </w:rPr>
              <w:t xml:space="preserve"> is unlikely that Fishery will be meeting the agreed management target of building to B</w:t>
            </w:r>
            <w:r w:rsidRPr="005A7E45">
              <w:rPr>
                <w:szCs w:val="24"/>
                <w:vertAlign w:val="subscript"/>
              </w:rPr>
              <w:t>60</w:t>
            </w:r>
            <w:r w:rsidRPr="005A7E45">
              <w:rPr>
                <w:szCs w:val="24"/>
              </w:rPr>
              <w:t xml:space="preserve"> if catch is around 150 t. </w:t>
            </w:r>
            <w:r>
              <w:rPr>
                <w:szCs w:val="24"/>
              </w:rPr>
              <w:t xml:space="preserve">The </w:t>
            </w:r>
            <w:r w:rsidRPr="00B66F29">
              <w:t xml:space="preserve">150 t </w:t>
            </w:r>
            <w:r>
              <w:t xml:space="preserve">catch scenario </w:t>
            </w:r>
            <w:r w:rsidRPr="00B66F29">
              <w:t>has a 30 per cent probability of reducing the stock below current estimated levels (B</w:t>
            </w:r>
            <w:r w:rsidRPr="00B66F29">
              <w:rPr>
                <w:vertAlign w:val="subscript"/>
              </w:rPr>
              <w:t>40</w:t>
            </w:r>
            <w:r w:rsidRPr="00B66F29">
              <w:t>) and it is unlikely the stock will rebuild towards the agree target reference point B</w:t>
            </w:r>
            <w:r w:rsidRPr="00B66F29">
              <w:rPr>
                <w:vertAlign w:val="subscript"/>
              </w:rPr>
              <w:t>60</w:t>
            </w:r>
            <w:r>
              <w:rPr>
                <w:szCs w:val="24"/>
              </w:rPr>
              <w:t>.</w:t>
            </w:r>
          </w:p>
        </w:tc>
      </w:tr>
    </w:tbl>
    <w:p w14:paraId="739583B1" w14:textId="77777777" w:rsidR="00593354" w:rsidRDefault="00593354" w:rsidP="004D2A03">
      <w:pPr>
        <w:spacing w:after="0"/>
      </w:pPr>
    </w:p>
    <w:p w14:paraId="49EA11BD" w14:textId="56B0C3A3" w:rsidR="002B2655" w:rsidRDefault="00F61492" w:rsidP="00B56F1E">
      <w:pPr>
        <w:pStyle w:val="Heading2"/>
        <w:spacing w:before="0" w:after="0"/>
      </w:pPr>
      <w:bookmarkStart w:id="5" w:name="_Toc479329942"/>
      <w:r>
        <w:t>Preliminaries</w:t>
      </w:r>
      <w:bookmarkEnd w:id="5"/>
    </w:p>
    <w:p w14:paraId="022BD8CE" w14:textId="51D03898" w:rsidR="00C34CCF" w:rsidRPr="005D3A75" w:rsidRDefault="00C34CCF" w:rsidP="00FC7BD0">
      <w:pPr>
        <w:jc w:val="both"/>
      </w:pPr>
      <w:r w:rsidRPr="005D3A75">
        <w:t xml:space="preserve">The </w:t>
      </w:r>
      <w:r w:rsidR="00404EF2">
        <w:t>Scientific Technical</w:t>
      </w:r>
      <w:r w:rsidR="00C6310C" w:rsidRPr="005D3A75">
        <w:t xml:space="preserve"> W</w:t>
      </w:r>
      <w:r w:rsidRPr="005D3A75">
        <w:t xml:space="preserve">orking </w:t>
      </w:r>
      <w:r w:rsidR="00C6310C" w:rsidRPr="005D3A75">
        <w:t>G</w:t>
      </w:r>
      <w:r w:rsidRPr="005D3A75">
        <w:t xml:space="preserve">roup </w:t>
      </w:r>
      <w:r w:rsidR="00C6310C" w:rsidRPr="005D3A75">
        <w:t>(</w:t>
      </w:r>
      <w:r w:rsidR="00404EF2">
        <w:t>STWG</w:t>
      </w:r>
      <w:r w:rsidR="00C6310C" w:rsidRPr="005D3A75">
        <w:t xml:space="preserve">) </w:t>
      </w:r>
      <w:r w:rsidRPr="005D3A75">
        <w:t>noted apologies from Andrew Tobin and Andy Bodsworth. Mr Bodsworth was scheduled to Chair the meeting</w:t>
      </w:r>
      <w:r w:rsidR="005D3A75">
        <w:t>,</w:t>
      </w:r>
      <w:r w:rsidRPr="005D3A75">
        <w:t xml:space="preserve"> however</w:t>
      </w:r>
      <w:r w:rsidR="005D3A75">
        <w:t xml:space="preserve"> he</w:t>
      </w:r>
      <w:r w:rsidRPr="005D3A75">
        <w:t xml:space="preserve"> </w:t>
      </w:r>
      <w:r w:rsidR="00FC7BD0">
        <w:t>was unable to</w:t>
      </w:r>
      <w:r w:rsidRPr="005D3A75">
        <w:t xml:space="preserve"> attend due to unexpected circumstances. The meeting was chaired by Selina </w:t>
      </w:r>
      <w:proofErr w:type="spellStart"/>
      <w:r w:rsidRPr="005D3A75">
        <w:t>Stoute</w:t>
      </w:r>
      <w:proofErr w:type="spellEnd"/>
      <w:r w:rsidRPr="005D3A75">
        <w:t>.</w:t>
      </w:r>
    </w:p>
    <w:p w14:paraId="75861C7F" w14:textId="221F5F36" w:rsidR="00C34CCF" w:rsidRPr="005D3A75" w:rsidRDefault="005B0A79" w:rsidP="00FC7BD0">
      <w:pPr>
        <w:jc w:val="both"/>
        <w:rPr>
          <w:rFonts w:cs="Arial"/>
        </w:rPr>
      </w:pPr>
      <w:r w:rsidRPr="005D3A75">
        <w:t xml:space="preserve">The </w:t>
      </w:r>
      <w:r w:rsidR="00404EF2">
        <w:t>STWG</w:t>
      </w:r>
      <w:r w:rsidR="00C6310C" w:rsidRPr="005D3A75">
        <w:t xml:space="preserve"> </w:t>
      </w:r>
      <w:r w:rsidRPr="005D3A75">
        <w:t xml:space="preserve">noted that </w:t>
      </w:r>
      <w:r w:rsidR="00662452" w:rsidRPr="005D3A75">
        <w:t xml:space="preserve">purpose of the meeting was to provide advice on the </w:t>
      </w:r>
      <w:r w:rsidR="00C34CCF" w:rsidRPr="005D3A75">
        <w:rPr>
          <w:rFonts w:cs="Arial"/>
        </w:rPr>
        <w:t>likely impacts of Spanish mackerel catches exceeding the Recommended Biological Catch</w:t>
      </w:r>
      <w:r w:rsidR="00FC7BD0">
        <w:rPr>
          <w:rFonts w:cs="Arial"/>
        </w:rPr>
        <w:t xml:space="preserve"> (RBC) of 125 </w:t>
      </w:r>
      <w:r w:rsidR="00C34CCF" w:rsidRPr="005D3A75">
        <w:rPr>
          <w:rFonts w:cs="Arial"/>
        </w:rPr>
        <w:t xml:space="preserve">tonnes for the </w:t>
      </w:r>
      <w:r w:rsidR="00FC7BD0">
        <w:rPr>
          <w:rFonts w:cs="Arial"/>
        </w:rPr>
        <w:t>2017/18 fishing season.</w:t>
      </w:r>
    </w:p>
    <w:p w14:paraId="761050D7" w14:textId="5CC11DAC" w:rsidR="00662452" w:rsidRPr="005D3A75" w:rsidRDefault="00662452" w:rsidP="00FC7BD0">
      <w:pPr>
        <w:jc w:val="both"/>
        <w:rPr>
          <w:rFonts w:cs="Arial"/>
        </w:rPr>
      </w:pPr>
      <w:r w:rsidRPr="005D3A75">
        <w:rPr>
          <w:rFonts w:cs="Arial"/>
        </w:rPr>
        <w:t xml:space="preserve">The </w:t>
      </w:r>
      <w:r w:rsidR="00404EF2">
        <w:t>STWG</w:t>
      </w:r>
      <w:r w:rsidR="00C6310C" w:rsidRPr="005D3A75">
        <w:rPr>
          <w:rFonts w:cs="Arial"/>
        </w:rPr>
        <w:t xml:space="preserve"> </w:t>
      </w:r>
      <w:r w:rsidRPr="005D3A75">
        <w:rPr>
          <w:rFonts w:cs="Arial"/>
        </w:rPr>
        <w:t>also noted that the TSRA had tabled paper on the meeting day</w:t>
      </w:r>
      <w:r w:rsidR="00FC7BD0">
        <w:rPr>
          <w:rFonts w:cs="Arial"/>
        </w:rPr>
        <w:t xml:space="preserve"> titled ‘</w:t>
      </w:r>
      <w:r w:rsidRPr="005D3A75">
        <w:rPr>
          <w:rFonts w:cs="Arial"/>
          <w:i/>
        </w:rPr>
        <w:t>Spanish mackerel subsistence catch and the proposed Total Allowable Cat</w:t>
      </w:r>
      <w:r w:rsidR="00FC7BD0">
        <w:rPr>
          <w:rFonts w:cs="Arial"/>
          <w:i/>
        </w:rPr>
        <w:t>c</w:t>
      </w:r>
      <w:r w:rsidRPr="005D3A75">
        <w:rPr>
          <w:rFonts w:cs="Arial"/>
          <w:i/>
        </w:rPr>
        <w:t>h limit</w:t>
      </w:r>
      <w:r w:rsidR="00FC7BD0">
        <w:rPr>
          <w:rFonts w:cs="Arial"/>
        </w:rPr>
        <w:t>’</w:t>
      </w:r>
      <w:r w:rsidRPr="005D3A75">
        <w:rPr>
          <w:rFonts w:cs="Arial"/>
        </w:rPr>
        <w:t xml:space="preserve"> for discussion.</w:t>
      </w:r>
    </w:p>
    <w:p w14:paraId="182BB9A0" w14:textId="77777777" w:rsidR="00714E8A" w:rsidRDefault="00714E8A" w:rsidP="00FC7BD0"/>
    <w:p w14:paraId="607CE931" w14:textId="2740A368" w:rsidR="00714E8A" w:rsidRDefault="00662452" w:rsidP="00714E8A">
      <w:pPr>
        <w:pStyle w:val="Heading2"/>
        <w:spacing w:before="0" w:after="0"/>
      </w:pPr>
      <w:bookmarkStart w:id="6" w:name="_Toc479329943"/>
      <w:r>
        <w:t>Likely stock impacts from exceeding the S</w:t>
      </w:r>
      <w:r w:rsidR="00F84C53">
        <w:t>panish Macker</w:t>
      </w:r>
      <w:r w:rsidR="003B26A1">
        <w:t>e</w:t>
      </w:r>
      <w:r w:rsidR="00F84C53">
        <w:t xml:space="preserve">l </w:t>
      </w:r>
      <w:r>
        <w:t>RBC in 2017-18</w:t>
      </w:r>
      <w:bookmarkEnd w:id="6"/>
    </w:p>
    <w:p w14:paraId="79676C92" w14:textId="4E3C0D51" w:rsidR="00EB7A53" w:rsidRPr="004A19A8" w:rsidRDefault="00EB7A53" w:rsidP="00B66F29">
      <w:pPr>
        <w:jc w:val="both"/>
      </w:pPr>
      <w:r>
        <w:t xml:space="preserve">Meeting paper titled: </w:t>
      </w:r>
      <w:r w:rsidRPr="00EB7A53">
        <w:rPr>
          <w:i/>
        </w:rPr>
        <w:t>S</w:t>
      </w:r>
      <w:r w:rsidR="004A19A8">
        <w:rPr>
          <w:i/>
        </w:rPr>
        <w:t>panish mackerel TAC for 2017-18</w:t>
      </w:r>
      <w:r w:rsidR="004A19A8">
        <w:t xml:space="preserve"> </w:t>
      </w:r>
      <w:r w:rsidR="004A19A8" w:rsidRPr="00FC7BD0">
        <w:rPr>
          <w:b/>
        </w:rPr>
        <w:t>(</w:t>
      </w:r>
      <w:r w:rsidR="00FC7BD0">
        <w:rPr>
          <w:b/>
        </w:rPr>
        <w:t>Attachment </w:t>
      </w:r>
      <w:r w:rsidR="00EE0F12">
        <w:rPr>
          <w:b/>
        </w:rPr>
        <w:t>A</w:t>
      </w:r>
      <w:r w:rsidR="004A19A8" w:rsidRPr="00FC7BD0">
        <w:rPr>
          <w:b/>
        </w:rPr>
        <w:t>)</w:t>
      </w:r>
      <w:r w:rsidR="004A19A8">
        <w:t>.</w:t>
      </w:r>
    </w:p>
    <w:p w14:paraId="58C129D7" w14:textId="74B83E20" w:rsidR="00FC7BD0" w:rsidRDefault="00EB7A53" w:rsidP="00B66F29">
      <w:pPr>
        <w:jc w:val="both"/>
        <w:rPr>
          <w:rFonts w:cs="Arial"/>
        </w:rPr>
      </w:pPr>
      <w:r w:rsidRPr="00EB7A53">
        <w:t xml:space="preserve">The </w:t>
      </w:r>
      <w:r w:rsidR="00404EF2">
        <w:t>STWG</w:t>
      </w:r>
      <w:r w:rsidR="00C6310C" w:rsidRPr="00EB7A53">
        <w:t xml:space="preserve"> </w:t>
      </w:r>
      <w:r w:rsidRPr="00EB7A53">
        <w:t xml:space="preserve">noted the </w:t>
      </w:r>
      <w:r w:rsidR="00FC7BD0">
        <w:t>Finfish Working Group (</w:t>
      </w:r>
      <w:r w:rsidRPr="00EB7A53">
        <w:t>FWG</w:t>
      </w:r>
      <w:r w:rsidR="00FC7BD0">
        <w:t>)</w:t>
      </w:r>
      <w:r w:rsidRPr="00EB7A53">
        <w:t xml:space="preserve"> reco</w:t>
      </w:r>
      <w:r w:rsidR="00FC7BD0">
        <w:t>mmended at its meeting on 16</w:t>
      </w:r>
      <w:r w:rsidR="00FC7BD0">
        <w:noBreakHyphen/>
        <w:t>17 </w:t>
      </w:r>
      <w:r w:rsidRPr="00EB7A53">
        <w:t>March</w:t>
      </w:r>
      <w:r w:rsidR="00FC7BD0">
        <w:t> </w:t>
      </w:r>
      <w:r w:rsidRPr="00EB7A53">
        <w:t xml:space="preserve">2017 that further advice be sought from the </w:t>
      </w:r>
      <w:r w:rsidR="00404EF2">
        <w:t>STWG</w:t>
      </w:r>
      <w:r w:rsidR="00C6310C" w:rsidRPr="00EB7A53">
        <w:rPr>
          <w:rFonts w:cs="Arial"/>
        </w:rPr>
        <w:t xml:space="preserve"> </w:t>
      </w:r>
      <w:r w:rsidRPr="00EB7A53">
        <w:rPr>
          <w:rFonts w:cs="Arial"/>
        </w:rPr>
        <w:t>on the impact</w:t>
      </w:r>
      <w:r w:rsidR="00FC7BD0">
        <w:rPr>
          <w:rFonts w:cs="Arial"/>
        </w:rPr>
        <w:t xml:space="preserve"> of Spanish mackerel catch</w:t>
      </w:r>
      <w:r w:rsidRPr="00EB7A53">
        <w:rPr>
          <w:rFonts w:cs="Arial"/>
        </w:rPr>
        <w:t xml:space="preserve"> exceeding the </w:t>
      </w:r>
      <w:r w:rsidR="00FC7BD0">
        <w:rPr>
          <w:rFonts w:cs="Arial"/>
        </w:rPr>
        <w:t>125 </w:t>
      </w:r>
      <w:r w:rsidRPr="00EB7A53">
        <w:rPr>
          <w:rFonts w:cs="Arial"/>
        </w:rPr>
        <w:t>t</w:t>
      </w:r>
      <w:r w:rsidR="00FC7BD0">
        <w:rPr>
          <w:rFonts w:cs="Arial"/>
        </w:rPr>
        <w:t xml:space="preserve"> RBC</w:t>
      </w:r>
      <w:r w:rsidRPr="00EB7A53">
        <w:rPr>
          <w:rFonts w:cs="Arial"/>
        </w:rPr>
        <w:t xml:space="preserve"> for the 2017/18 fish</w:t>
      </w:r>
      <w:r>
        <w:rPr>
          <w:rFonts w:cs="Arial"/>
        </w:rPr>
        <w:t>ing season</w:t>
      </w:r>
      <w:r w:rsidR="00C6310C">
        <w:rPr>
          <w:rFonts w:cs="Arial"/>
        </w:rPr>
        <w:t>. The FWG advised</w:t>
      </w:r>
      <w:r w:rsidR="00FC7BD0">
        <w:rPr>
          <w:rFonts w:cs="Arial"/>
        </w:rPr>
        <w:t xml:space="preserve"> that based on agreed</w:t>
      </w:r>
      <w:r w:rsidR="00FC7BD0" w:rsidRPr="00FC7BD0">
        <w:rPr>
          <w:rFonts w:cs="Arial"/>
        </w:rPr>
        <w:t xml:space="preserve"> </w:t>
      </w:r>
      <w:r w:rsidR="00FC7BD0">
        <w:rPr>
          <w:rFonts w:cs="Arial"/>
        </w:rPr>
        <w:t xml:space="preserve">that </w:t>
      </w:r>
      <w:r w:rsidR="00FC7BD0" w:rsidRPr="00FC7BD0">
        <w:rPr>
          <w:rFonts w:cs="Arial"/>
        </w:rPr>
        <w:t xml:space="preserve">total catches in the upcoming season may possibly range between </w:t>
      </w:r>
      <w:r w:rsidR="00FC7BD0" w:rsidRPr="00FC7BD0">
        <w:rPr>
          <w:rFonts w:cs="Arial"/>
          <w:b/>
        </w:rPr>
        <w:t>131-144</w:t>
      </w:r>
      <w:r w:rsidR="006372E6">
        <w:rPr>
          <w:rFonts w:cs="Arial"/>
          <w:b/>
        </w:rPr>
        <w:t> </w:t>
      </w:r>
      <w:r w:rsidR="00FC7BD0" w:rsidRPr="00FC7BD0">
        <w:rPr>
          <w:rFonts w:cs="Arial"/>
          <w:b/>
        </w:rPr>
        <w:t>t</w:t>
      </w:r>
      <w:r w:rsidR="00FC7BD0">
        <w:rPr>
          <w:rFonts w:cs="Arial"/>
          <w:b/>
        </w:rPr>
        <w:t>,</w:t>
      </w:r>
      <w:r w:rsidR="00FC7BD0">
        <w:rPr>
          <w:rFonts w:cs="Arial"/>
        </w:rPr>
        <w:t xml:space="preserve"> based on:</w:t>
      </w:r>
    </w:p>
    <w:p w14:paraId="475E92C0" w14:textId="63EF91A8" w:rsidR="00FC7BD0" w:rsidRDefault="00EB7A53" w:rsidP="00B66F29">
      <w:pPr>
        <w:pStyle w:val="ListParagraph"/>
        <w:numPr>
          <w:ilvl w:val="0"/>
          <w:numId w:val="25"/>
        </w:numPr>
        <w:jc w:val="both"/>
        <w:rPr>
          <w:rFonts w:cs="Arial"/>
        </w:rPr>
      </w:pPr>
      <w:r w:rsidRPr="00FC7BD0">
        <w:rPr>
          <w:rFonts w:cs="Arial"/>
        </w:rPr>
        <w:t>best estimates of subsistence take by traditional inhabitants (12</w:t>
      </w:r>
      <w:r w:rsidR="00FC7BD0" w:rsidRPr="00FC7BD0">
        <w:rPr>
          <w:rFonts w:cs="Arial"/>
        </w:rPr>
        <w:t> </w:t>
      </w:r>
      <w:r w:rsidRPr="00FC7BD0">
        <w:rPr>
          <w:rFonts w:cs="Arial"/>
        </w:rPr>
        <w:t xml:space="preserve">t </w:t>
      </w:r>
      <w:r w:rsidR="00FC7BD0" w:rsidRPr="00FC7BD0">
        <w:rPr>
          <w:rFonts w:cs="Arial"/>
          <w:i/>
        </w:rPr>
        <w:t>Busilacchi </w:t>
      </w:r>
      <w:r w:rsidRPr="00FC7BD0">
        <w:rPr>
          <w:rFonts w:cs="Arial"/>
          <w:i/>
        </w:rPr>
        <w:t>2008)</w:t>
      </w:r>
      <w:r w:rsidR="00FC7BD0">
        <w:rPr>
          <w:rFonts w:cs="Arial"/>
        </w:rPr>
        <w:t>;</w:t>
      </w:r>
    </w:p>
    <w:p w14:paraId="709E0B68" w14:textId="78B3C061" w:rsidR="00FC7BD0" w:rsidRDefault="00EB7A53" w:rsidP="00B66F29">
      <w:pPr>
        <w:pStyle w:val="ListParagraph"/>
        <w:numPr>
          <w:ilvl w:val="0"/>
          <w:numId w:val="25"/>
        </w:numPr>
        <w:jc w:val="both"/>
        <w:rPr>
          <w:rFonts w:cs="Arial"/>
        </w:rPr>
      </w:pPr>
      <w:r w:rsidRPr="00FC7BD0">
        <w:rPr>
          <w:rFonts w:cs="Arial"/>
        </w:rPr>
        <w:lastRenderedPageBreak/>
        <w:t>the range of TIB commercial catch estimates (9</w:t>
      </w:r>
      <w:r w:rsidR="00FC7BD0" w:rsidRPr="00FC7BD0">
        <w:rPr>
          <w:rFonts w:cs="Arial"/>
        </w:rPr>
        <w:t> </w:t>
      </w:r>
      <w:r w:rsidRPr="00FC7BD0">
        <w:rPr>
          <w:rFonts w:cs="Arial"/>
        </w:rPr>
        <w:t xml:space="preserve">t </w:t>
      </w:r>
      <w:r w:rsidR="00FC7BD0" w:rsidRPr="00FC7BD0">
        <w:rPr>
          <w:rFonts w:cs="Arial"/>
        </w:rPr>
        <w:t xml:space="preserve">reported by </w:t>
      </w:r>
      <w:r w:rsidRPr="00FC7BD0">
        <w:rPr>
          <w:rFonts w:cs="Arial"/>
          <w:i/>
        </w:rPr>
        <w:t xml:space="preserve">Busilacchi et al 2012 </w:t>
      </w:r>
      <w:r w:rsidRPr="00FC7BD0">
        <w:rPr>
          <w:rFonts w:cs="Arial"/>
        </w:rPr>
        <w:t>and 22</w:t>
      </w:r>
      <w:r w:rsidR="00FC7BD0" w:rsidRPr="00FC7BD0">
        <w:rPr>
          <w:rFonts w:cs="Arial"/>
        </w:rPr>
        <w:t> </w:t>
      </w:r>
      <w:r w:rsidRPr="00FC7BD0">
        <w:rPr>
          <w:rFonts w:cs="Arial"/>
        </w:rPr>
        <w:t>t</w:t>
      </w:r>
      <w:r w:rsidR="00FC7BD0" w:rsidRPr="00FC7BD0">
        <w:rPr>
          <w:rFonts w:cs="Arial"/>
        </w:rPr>
        <w:t xml:space="preserve"> reported by </w:t>
      </w:r>
      <w:r w:rsidR="00FC7BD0" w:rsidRPr="00FC7BD0">
        <w:rPr>
          <w:rFonts w:cs="Arial"/>
          <w:i/>
        </w:rPr>
        <w:t>O’Neill &amp; Tobin </w:t>
      </w:r>
      <w:r w:rsidRPr="00FC7BD0">
        <w:rPr>
          <w:rFonts w:cs="Arial"/>
          <w:i/>
        </w:rPr>
        <w:t>2016</w:t>
      </w:r>
      <w:r w:rsidRPr="00FC7BD0">
        <w:rPr>
          <w:rFonts w:cs="Arial"/>
        </w:rPr>
        <w:t>)</w:t>
      </w:r>
      <w:r w:rsidR="00FC7BD0">
        <w:rPr>
          <w:rFonts w:cs="Arial"/>
        </w:rPr>
        <w:t xml:space="preserve">; and </w:t>
      </w:r>
    </w:p>
    <w:p w14:paraId="344E318D" w14:textId="71CE28B0" w:rsidR="00FC7BD0" w:rsidRDefault="00EB7A53" w:rsidP="00B66F29">
      <w:pPr>
        <w:pStyle w:val="ListParagraph"/>
        <w:numPr>
          <w:ilvl w:val="0"/>
          <w:numId w:val="25"/>
        </w:numPr>
        <w:jc w:val="both"/>
        <w:rPr>
          <w:rFonts w:cs="Arial"/>
        </w:rPr>
      </w:pPr>
      <w:proofErr w:type="gramStart"/>
      <w:r w:rsidRPr="00FC7BD0">
        <w:rPr>
          <w:rFonts w:cs="Arial"/>
        </w:rPr>
        <w:t>a</w:t>
      </w:r>
      <w:proofErr w:type="gramEnd"/>
      <w:r w:rsidRPr="00FC7BD0">
        <w:rPr>
          <w:rFonts w:cs="Arial"/>
        </w:rPr>
        <w:t xml:space="preserve"> sunset catch allocation of 110</w:t>
      </w:r>
      <w:r w:rsidR="00FC7BD0" w:rsidRPr="00FC7BD0">
        <w:rPr>
          <w:rFonts w:cs="Arial"/>
        </w:rPr>
        <w:t> </w:t>
      </w:r>
      <w:r w:rsidR="00FC7BD0">
        <w:rPr>
          <w:rFonts w:cs="Arial"/>
        </w:rPr>
        <w:t>t.</w:t>
      </w:r>
    </w:p>
    <w:p w14:paraId="7D6FF8E8" w14:textId="01C97D0B" w:rsidR="00FC7BD0" w:rsidRDefault="00EB7A53" w:rsidP="00B66F29">
      <w:pPr>
        <w:jc w:val="both"/>
        <w:rPr>
          <w:rFonts w:eastAsia="Times New Roman" w:cs="Arial"/>
        </w:rPr>
      </w:pPr>
      <w:r>
        <w:rPr>
          <w:rFonts w:cs="Arial"/>
        </w:rPr>
        <w:t xml:space="preserve">The </w:t>
      </w:r>
      <w:r w:rsidR="00404EF2">
        <w:t>STWG</w:t>
      </w:r>
      <w:r w:rsidR="00C6310C">
        <w:rPr>
          <w:rFonts w:cs="Arial"/>
        </w:rPr>
        <w:t xml:space="preserve"> </w:t>
      </w:r>
      <w:r>
        <w:rPr>
          <w:rFonts w:cs="Arial"/>
        </w:rPr>
        <w:t xml:space="preserve">also noted and considered </w:t>
      </w:r>
      <w:r w:rsidR="00F33B6F">
        <w:rPr>
          <w:rFonts w:cs="Arial"/>
        </w:rPr>
        <w:t xml:space="preserve">the </w:t>
      </w:r>
      <w:r>
        <w:rPr>
          <w:rFonts w:cs="Arial"/>
        </w:rPr>
        <w:t>r</w:t>
      </w:r>
      <w:r w:rsidR="00F33B6F">
        <w:rPr>
          <w:rFonts w:cs="Arial"/>
        </w:rPr>
        <w:t>isk</w:t>
      </w:r>
      <w:r>
        <w:rPr>
          <w:rFonts w:cs="Arial"/>
        </w:rPr>
        <w:t xml:space="preserve"> profile</w:t>
      </w:r>
      <w:r w:rsidR="00F33B6F">
        <w:rPr>
          <w:rFonts w:cs="Arial"/>
        </w:rPr>
        <w:t xml:space="preserve"> provided by Dr</w:t>
      </w:r>
      <w:r w:rsidR="00FC7BD0">
        <w:rPr>
          <w:rFonts w:cs="Arial"/>
        </w:rPr>
        <w:t> </w:t>
      </w:r>
      <w:r w:rsidR="00F33B6F" w:rsidRPr="00EB7A53">
        <w:rPr>
          <w:rFonts w:cs="Arial"/>
        </w:rPr>
        <w:t>O’Neill</w:t>
      </w:r>
      <w:r w:rsidR="00F33B6F" w:rsidRPr="00F33B6F">
        <w:rPr>
          <w:rFonts w:eastAsia="Times New Roman" w:cs="Times New Roman"/>
        </w:rPr>
        <w:t xml:space="preserve"> which charts the</w:t>
      </w:r>
      <w:r w:rsidR="00F33B6F" w:rsidRPr="00F33B6F">
        <w:rPr>
          <w:rFonts w:eastAsia="Times New Roman" w:cs="Arial"/>
        </w:rPr>
        <w:t xml:space="preserve"> probability of the stock falling below </w:t>
      </w:r>
      <w:r w:rsidR="00C6310C">
        <w:rPr>
          <w:rFonts w:eastAsia="Times New Roman" w:cs="Arial"/>
        </w:rPr>
        <w:t>the</w:t>
      </w:r>
      <w:r w:rsidR="00F33B6F" w:rsidRPr="00F33B6F">
        <w:rPr>
          <w:rFonts w:eastAsia="Times New Roman" w:cs="Arial"/>
        </w:rPr>
        <w:t xml:space="preserve"> current estimated biomass of around B</w:t>
      </w:r>
      <w:r w:rsidR="00F33B6F" w:rsidRPr="00F33B6F">
        <w:rPr>
          <w:rFonts w:eastAsia="Times New Roman" w:cs="Arial"/>
          <w:vertAlign w:val="subscript"/>
        </w:rPr>
        <w:t>40</w:t>
      </w:r>
      <w:r w:rsidR="00F33B6F" w:rsidRPr="00F33B6F">
        <w:rPr>
          <w:rFonts w:eastAsia="Times New Roman" w:cs="Arial"/>
        </w:rPr>
        <w:t xml:space="preserve"> over the next four years with </w:t>
      </w:r>
      <w:r w:rsidR="00FC7BD0">
        <w:rPr>
          <w:rFonts w:eastAsia="Times New Roman" w:cs="Arial"/>
        </w:rPr>
        <w:t xml:space="preserve">five different </w:t>
      </w:r>
      <w:r w:rsidR="00F33B6F" w:rsidRPr="00F33B6F">
        <w:rPr>
          <w:rFonts w:eastAsia="Times New Roman" w:cs="Arial"/>
        </w:rPr>
        <w:t>catch</w:t>
      </w:r>
      <w:r w:rsidR="00FC7BD0">
        <w:rPr>
          <w:rFonts w:eastAsia="Times New Roman" w:cs="Arial"/>
        </w:rPr>
        <w:t xml:space="preserve"> scenarios ranging between 100 t and 200 t</w:t>
      </w:r>
      <w:r w:rsidR="00F33B6F" w:rsidRPr="00FC7BD0">
        <w:rPr>
          <w:rFonts w:eastAsia="Times New Roman" w:cs="Arial"/>
        </w:rPr>
        <w:t>.</w:t>
      </w:r>
    </w:p>
    <w:p w14:paraId="6CCD1283" w14:textId="1CAC3512" w:rsidR="00F33B6F" w:rsidRPr="00FC7BD0" w:rsidRDefault="00F33B6F" w:rsidP="00B66F29">
      <w:pPr>
        <w:jc w:val="both"/>
        <w:rPr>
          <w:rFonts w:cs="Times New Roman"/>
        </w:rPr>
      </w:pPr>
      <w:r w:rsidRPr="00FC7BD0">
        <w:t xml:space="preserve">The </w:t>
      </w:r>
      <w:r w:rsidR="00404EF2">
        <w:t>STWG</w:t>
      </w:r>
      <w:r w:rsidR="00C6310C" w:rsidRPr="00FC7BD0">
        <w:t xml:space="preserve"> </w:t>
      </w:r>
      <w:r w:rsidRPr="00FC7BD0">
        <w:t xml:space="preserve">noted that </w:t>
      </w:r>
      <w:r w:rsidR="007571A8">
        <w:t>the</w:t>
      </w:r>
      <w:r w:rsidR="006E30FF">
        <w:t xml:space="preserve"> five</w:t>
      </w:r>
      <w:r w:rsidR="007571A8">
        <w:t xml:space="preserve"> catch scenario risk profiles </w:t>
      </w:r>
      <w:r w:rsidR="00EE0F12">
        <w:rPr>
          <w:b/>
        </w:rPr>
        <w:t>(Attachment A</w:t>
      </w:r>
      <w:r w:rsidR="007571A8" w:rsidRPr="007571A8">
        <w:rPr>
          <w:b/>
        </w:rPr>
        <w:t>, Figure 1)</w:t>
      </w:r>
      <w:r w:rsidR="007571A8">
        <w:t xml:space="preserve"> were</w:t>
      </w:r>
      <w:r w:rsidRPr="00FC7BD0">
        <w:t xml:space="preserve"> generated from stock analysis two and t</w:t>
      </w:r>
      <w:r w:rsidR="007571A8">
        <w:t>he analysis indicates</w:t>
      </w:r>
      <w:r w:rsidR="006E30FF">
        <w:t xml:space="preserve"> that</w:t>
      </w:r>
      <w:r w:rsidRPr="00FC7BD0">
        <w:t>:</w:t>
      </w:r>
    </w:p>
    <w:p w14:paraId="3313A7D0" w14:textId="7433C155" w:rsidR="00F33B6F" w:rsidRPr="00B66F29" w:rsidRDefault="006E30FF" w:rsidP="00B66F29">
      <w:pPr>
        <w:pStyle w:val="ListParagraph"/>
        <w:numPr>
          <w:ilvl w:val="0"/>
          <w:numId w:val="29"/>
        </w:numPr>
        <w:jc w:val="both"/>
      </w:pPr>
      <w:r>
        <w:t xml:space="preserve">catch scenarios </w:t>
      </w:r>
      <w:r w:rsidR="00F33B6F" w:rsidRPr="00FC7BD0">
        <w:t>over 150</w:t>
      </w:r>
      <w:r w:rsidR="007571A8">
        <w:t> </w:t>
      </w:r>
      <w:r w:rsidR="00F33B6F" w:rsidRPr="00FC7BD0">
        <w:t xml:space="preserve">t </w:t>
      </w:r>
      <w:r>
        <w:t xml:space="preserve">have a higher </w:t>
      </w:r>
      <w:r w:rsidR="00F33B6F" w:rsidRPr="00FC7BD0">
        <w:t>probability of reducing the stock</w:t>
      </w:r>
      <w:r w:rsidR="007571A8">
        <w:t xml:space="preserve"> below </w:t>
      </w:r>
      <w:r w:rsidR="007571A8" w:rsidRPr="00B66F29">
        <w:t>current estimated levels (B</w:t>
      </w:r>
      <w:r w:rsidR="007571A8" w:rsidRPr="00B66F29">
        <w:rPr>
          <w:vertAlign w:val="subscript"/>
        </w:rPr>
        <w:t>40</w:t>
      </w:r>
      <w:r w:rsidR="007571A8" w:rsidRPr="00B66F29">
        <w:t>)</w:t>
      </w:r>
      <w:r w:rsidRPr="00B66F29">
        <w:t>,</w:t>
      </w:r>
      <w:r w:rsidR="00F33B6F" w:rsidRPr="00B66F29">
        <w:t xml:space="preserve"> </w:t>
      </w:r>
      <w:r w:rsidR="007571A8" w:rsidRPr="00B66F29">
        <w:t>particularly after one year;</w:t>
      </w:r>
    </w:p>
    <w:p w14:paraId="124C2B6C" w14:textId="7409503D" w:rsidR="00F33B6F" w:rsidRPr="00B66F29" w:rsidRDefault="006E30FF" w:rsidP="00B66F29">
      <w:pPr>
        <w:pStyle w:val="ListParagraph"/>
        <w:numPr>
          <w:ilvl w:val="0"/>
          <w:numId w:val="29"/>
        </w:numPr>
        <w:jc w:val="both"/>
      </w:pPr>
      <w:r w:rsidRPr="00B66F29">
        <w:t xml:space="preserve">the catch scenario of </w:t>
      </w:r>
      <w:r w:rsidR="00F33B6F" w:rsidRPr="00B66F29">
        <w:t>150</w:t>
      </w:r>
      <w:r w:rsidR="007571A8" w:rsidRPr="00B66F29">
        <w:t> </w:t>
      </w:r>
      <w:r w:rsidR="00F33B6F" w:rsidRPr="00B66F29">
        <w:t xml:space="preserve">t </w:t>
      </w:r>
      <w:r w:rsidRPr="00B66F29">
        <w:t xml:space="preserve">has a 30 per cent probability </w:t>
      </w:r>
      <w:r w:rsidR="00F33B6F" w:rsidRPr="00B66F29">
        <w:t xml:space="preserve">of reducing the stock </w:t>
      </w:r>
      <w:r w:rsidRPr="00B66F29">
        <w:t>below</w:t>
      </w:r>
      <w:r w:rsidR="00F33B6F" w:rsidRPr="00B66F29">
        <w:t xml:space="preserve"> current estimated levels (B</w:t>
      </w:r>
      <w:r w:rsidR="00F33B6F" w:rsidRPr="00B66F29">
        <w:rPr>
          <w:vertAlign w:val="subscript"/>
        </w:rPr>
        <w:t>40</w:t>
      </w:r>
      <w:r w:rsidR="007571A8" w:rsidRPr="00B66F29">
        <w:t>)</w:t>
      </w:r>
      <w:r w:rsidR="00B66F29" w:rsidRPr="00B66F29">
        <w:t xml:space="preserve"> and it is unlikely the stock will rebuild towards the agree target reference point B</w:t>
      </w:r>
      <w:r w:rsidR="00B66F29" w:rsidRPr="00B66F29">
        <w:rPr>
          <w:vertAlign w:val="subscript"/>
        </w:rPr>
        <w:t>60</w:t>
      </w:r>
      <w:r w:rsidR="00F33B6F" w:rsidRPr="00B66F29">
        <w:t>; and</w:t>
      </w:r>
    </w:p>
    <w:p w14:paraId="6C127C8C" w14:textId="2CBDCA1B" w:rsidR="00F33B6F" w:rsidRPr="00FC7BD0" w:rsidRDefault="006E30FF" w:rsidP="00B66F29">
      <w:pPr>
        <w:pStyle w:val="ListParagraph"/>
        <w:numPr>
          <w:ilvl w:val="0"/>
          <w:numId w:val="29"/>
        </w:numPr>
        <w:jc w:val="both"/>
      </w:pPr>
      <w:r>
        <w:t>catch scenarios of</w:t>
      </w:r>
      <w:r w:rsidR="00F33B6F" w:rsidRPr="00FC7BD0">
        <w:t xml:space="preserve"> 1</w:t>
      </w:r>
      <w:r w:rsidR="00B66F29">
        <w:t>00</w:t>
      </w:r>
      <w:r w:rsidR="007571A8">
        <w:t> </w:t>
      </w:r>
      <w:r w:rsidR="00F33B6F" w:rsidRPr="00FC7BD0">
        <w:t>t and 1</w:t>
      </w:r>
      <w:r w:rsidR="00B66F29">
        <w:t>25</w:t>
      </w:r>
      <w:r w:rsidR="007571A8">
        <w:t> </w:t>
      </w:r>
      <w:r w:rsidR="00F33B6F" w:rsidRPr="00FC7BD0">
        <w:t xml:space="preserve">t </w:t>
      </w:r>
      <w:r>
        <w:t xml:space="preserve">have a significantly reduced </w:t>
      </w:r>
      <w:r w:rsidR="00F33B6F" w:rsidRPr="00FC7BD0">
        <w:t xml:space="preserve">probability of the stock </w:t>
      </w:r>
      <w:r w:rsidR="007571A8">
        <w:t>falling below</w:t>
      </w:r>
      <w:r w:rsidR="00F33B6F" w:rsidRPr="00FC7BD0">
        <w:t xml:space="preserve"> current estimated levels (B</w:t>
      </w:r>
      <w:r w:rsidR="00F33B6F" w:rsidRPr="00FC7BD0">
        <w:rPr>
          <w:vertAlign w:val="subscript"/>
        </w:rPr>
        <w:t>40</w:t>
      </w:r>
      <w:r w:rsidR="00F33B6F" w:rsidRPr="00FC7BD0">
        <w:t>) and</w:t>
      </w:r>
      <w:r w:rsidR="00C6310C" w:rsidRPr="00FC7BD0">
        <w:t xml:space="preserve"> it is </w:t>
      </w:r>
      <w:r w:rsidR="007571A8">
        <w:t>likely</w:t>
      </w:r>
      <w:r w:rsidR="00F33B6F" w:rsidRPr="00FC7BD0">
        <w:t xml:space="preserve"> that </w:t>
      </w:r>
      <w:r w:rsidR="007571A8">
        <w:t xml:space="preserve">the </w:t>
      </w:r>
      <w:r w:rsidR="00F33B6F" w:rsidRPr="00FC7BD0">
        <w:t xml:space="preserve">stock </w:t>
      </w:r>
      <w:r w:rsidR="007571A8">
        <w:t>will</w:t>
      </w:r>
      <w:r w:rsidR="00F33B6F" w:rsidRPr="00FC7BD0">
        <w:t xml:space="preserve"> </w:t>
      </w:r>
      <w:r w:rsidR="00B66F29">
        <w:t>re</w:t>
      </w:r>
      <w:r w:rsidR="00F33B6F" w:rsidRPr="00FC7BD0">
        <w:t xml:space="preserve">build towards the </w:t>
      </w:r>
      <w:r w:rsidR="007571A8">
        <w:t xml:space="preserve">agreed target </w:t>
      </w:r>
      <w:r w:rsidR="00F33B6F" w:rsidRPr="00FC7BD0">
        <w:t>reference point</w:t>
      </w:r>
      <w:r w:rsidR="007571A8">
        <w:t xml:space="preserve"> B</w:t>
      </w:r>
      <w:r w:rsidR="007571A8" w:rsidRPr="007571A8">
        <w:rPr>
          <w:vertAlign w:val="subscript"/>
        </w:rPr>
        <w:t>60</w:t>
      </w:r>
      <w:r w:rsidR="00F33B6F" w:rsidRPr="00FC7BD0">
        <w:t>.</w:t>
      </w:r>
    </w:p>
    <w:p w14:paraId="01D7ED94" w14:textId="196BB089" w:rsidR="00791AA3" w:rsidRPr="006372E6" w:rsidRDefault="00F33B6F" w:rsidP="00B66F29">
      <w:pPr>
        <w:jc w:val="both"/>
      </w:pPr>
      <w:r>
        <w:t>TSRA question</w:t>
      </w:r>
      <w:r w:rsidR="00AE5136">
        <w:t xml:space="preserve">ed the reliability of the risk profiles given the predicted biomass level had </w:t>
      </w:r>
      <w:r w:rsidR="000954BA">
        <w:t xml:space="preserve">not </w:t>
      </w:r>
      <w:r w:rsidR="00AE5136">
        <w:t xml:space="preserve">changed </w:t>
      </w:r>
      <w:r w:rsidR="000954BA">
        <w:t xml:space="preserve">significantly </w:t>
      </w:r>
      <w:r w:rsidR="00AE5136">
        <w:t xml:space="preserve">since the </w:t>
      </w:r>
      <w:proofErr w:type="spellStart"/>
      <w:r w:rsidR="00AE5136">
        <w:rPr>
          <w:i/>
        </w:rPr>
        <w:t>Begg</w:t>
      </w:r>
      <w:proofErr w:type="spellEnd"/>
      <w:r w:rsidR="00AE5136">
        <w:rPr>
          <w:i/>
        </w:rPr>
        <w:t xml:space="preserve"> et al 2006</w:t>
      </w:r>
      <w:r w:rsidR="00AE5136">
        <w:t xml:space="preserve"> </w:t>
      </w:r>
      <w:r w:rsidR="000954BA">
        <w:t>assessment</w:t>
      </w:r>
      <w:r w:rsidR="00AE5136">
        <w:t xml:space="preserve"> (main</w:t>
      </w:r>
      <w:r w:rsidR="00C6310C">
        <w:t>ta</w:t>
      </w:r>
      <w:r w:rsidR="00AE5136">
        <w:t xml:space="preserve">ining around </w:t>
      </w:r>
      <w:r w:rsidR="00C6310C" w:rsidRPr="00F33B6F">
        <w:rPr>
          <w:rFonts w:eastAsia="Times New Roman"/>
        </w:rPr>
        <w:t>B</w:t>
      </w:r>
      <w:r w:rsidR="00C6310C" w:rsidRPr="00F33B6F">
        <w:rPr>
          <w:rFonts w:eastAsia="Times New Roman"/>
          <w:vertAlign w:val="subscript"/>
        </w:rPr>
        <w:t>40</w:t>
      </w:r>
      <w:r w:rsidR="00AE5136">
        <w:t xml:space="preserve">) despite a </w:t>
      </w:r>
      <w:r w:rsidR="00B66F29">
        <w:t xml:space="preserve">reported </w:t>
      </w:r>
      <w:r w:rsidR="00AE5136">
        <w:t xml:space="preserve">reduction in </w:t>
      </w:r>
      <w:r w:rsidR="00B66F29" w:rsidRPr="006372E6">
        <w:t xml:space="preserve">commercial </w:t>
      </w:r>
      <w:r w:rsidR="00AE5136" w:rsidRPr="006372E6">
        <w:t>catches.</w:t>
      </w:r>
    </w:p>
    <w:p w14:paraId="70645B58" w14:textId="20DDB09A" w:rsidR="00EB7A53" w:rsidRDefault="00C6310C" w:rsidP="00B66F29">
      <w:pPr>
        <w:jc w:val="both"/>
      </w:pPr>
      <w:r w:rsidRPr="006372E6">
        <w:t>TSRA advised that w</w:t>
      </w:r>
      <w:r w:rsidR="000954BA" w:rsidRPr="006372E6">
        <w:t xml:space="preserve">ith reduced </w:t>
      </w:r>
      <w:r w:rsidR="00B66F29" w:rsidRPr="006372E6">
        <w:t xml:space="preserve">commercial </w:t>
      </w:r>
      <w:r w:rsidR="000954BA" w:rsidRPr="006372E6">
        <w:t>catches</w:t>
      </w:r>
      <w:r w:rsidRPr="006372E6">
        <w:t>,</w:t>
      </w:r>
      <w:r w:rsidR="000954BA" w:rsidRPr="006372E6">
        <w:t xml:space="preserve"> evidence of </w:t>
      </w:r>
      <w:r w:rsidR="00791AA3" w:rsidRPr="006372E6">
        <w:t>the stock</w:t>
      </w:r>
      <w:r w:rsidR="000954BA" w:rsidRPr="006372E6">
        <w:t xml:space="preserve"> rebuild</w:t>
      </w:r>
      <w:r w:rsidR="00791AA3" w:rsidRPr="006372E6">
        <w:t xml:space="preserve">ing </w:t>
      </w:r>
      <w:r w:rsidR="000954BA" w:rsidRPr="006372E6">
        <w:t>should have been detected in the sa</w:t>
      </w:r>
      <w:r w:rsidR="00791AA3" w:rsidRPr="006372E6">
        <w:t>me way the risk</w:t>
      </w:r>
      <w:r w:rsidR="00791AA3">
        <w:t xml:space="preserve"> profiles forecast the stock</w:t>
      </w:r>
      <w:r w:rsidR="000954BA">
        <w:t xml:space="preserve"> </w:t>
      </w:r>
      <w:r w:rsidR="00B66F29">
        <w:t>re</w:t>
      </w:r>
      <w:r w:rsidR="000954BA">
        <w:t>building</w:t>
      </w:r>
      <w:r>
        <w:t xml:space="preserve"> </w:t>
      </w:r>
      <w:r w:rsidR="00B66F29">
        <w:t xml:space="preserve">with catch scenarios of </w:t>
      </w:r>
      <w:r>
        <w:t>100-125</w:t>
      </w:r>
      <w:r w:rsidR="00B66F29">
        <w:t> </w:t>
      </w:r>
      <w:r>
        <w:t>t</w:t>
      </w:r>
      <w:r w:rsidR="000954BA">
        <w:t xml:space="preserve">. </w:t>
      </w:r>
      <w:r w:rsidR="00AE5136">
        <w:t>TSRA also question</w:t>
      </w:r>
      <w:r w:rsidR="000954BA">
        <w:t>ed</w:t>
      </w:r>
      <w:r w:rsidR="00AE5136">
        <w:t xml:space="preserve"> w</w:t>
      </w:r>
      <w:r w:rsidR="00F33B6F">
        <w:t>hether or not the CPUE data</w:t>
      </w:r>
      <w:r w:rsidR="00AE5136">
        <w:t xml:space="preserve"> series was reliable given that the </w:t>
      </w:r>
      <w:r w:rsidR="000954BA">
        <w:t xml:space="preserve">CPUE data comprised </w:t>
      </w:r>
      <w:r w:rsidR="00AE5136">
        <w:t>only 3-4 operators.</w:t>
      </w:r>
      <w:r w:rsidR="00791AA3">
        <w:t xml:space="preserve"> </w:t>
      </w:r>
      <w:r w:rsidR="00191F78">
        <w:t>AFMA noted that the CPUE time series include</w:t>
      </w:r>
      <w:r>
        <w:t>s</w:t>
      </w:r>
      <w:r w:rsidR="00191F78">
        <w:t xml:space="preserve"> more than 3-4 operators.</w:t>
      </w:r>
    </w:p>
    <w:p w14:paraId="11B81B9C" w14:textId="77777777" w:rsidR="000954BA" w:rsidRDefault="000954BA" w:rsidP="00B66F29">
      <w:pPr>
        <w:jc w:val="both"/>
      </w:pPr>
      <w:r>
        <w:t xml:space="preserve">Dr </w:t>
      </w:r>
      <w:proofErr w:type="spellStart"/>
      <w:r>
        <w:t>O’neill</w:t>
      </w:r>
      <w:proofErr w:type="spellEnd"/>
      <w:r>
        <w:t xml:space="preserve"> advised that:</w:t>
      </w:r>
    </w:p>
    <w:p w14:paraId="1FA0C5E1" w14:textId="4EB07796" w:rsidR="00EB7A53" w:rsidRDefault="000954BA" w:rsidP="00B66F29">
      <w:pPr>
        <w:pStyle w:val="ListParagraph"/>
        <w:numPr>
          <w:ilvl w:val="0"/>
          <w:numId w:val="30"/>
        </w:numPr>
        <w:jc w:val="both"/>
      </w:pPr>
      <w:r w:rsidRPr="000954BA">
        <w:t xml:space="preserve">the updated stock assessment includes new data and is not strictly comparable to the </w:t>
      </w:r>
      <w:proofErr w:type="spellStart"/>
      <w:r w:rsidRPr="000954BA">
        <w:t>Begg</w:t>
      </w:r>
      <w:proofErr w:type="spellEnd"/>
      <w:r w:rsidRPr="000954BA">
        <w:t xml:space="preserve"> </w:t>
      </w:r>
      <w:r w:rsidRPr="00791AA3">
        <w:rPr>
          <w:i/>
        </w:rPr>
        <w:t xml:space="preserve">et al </w:t>
      </w:r>
      <w:r w:rsidRPr="000954BA">
        <w:t>2006</w:t>
      </w:r>
      <w:r w:rsidRPr="00791AA3">
        <w:rPr>
          <w:i/>
        </w:rPr>
        <w:t xml:space="preserve"> </w:t>
      </w:r>
      <w:r w:rsidRPr="000954BA">
        <w:t>assessment</w:t>
      </w:r>
      <w:r>
        <w:t>;</w:t>
      </w:r>
      <w:r w:rsidR="00791AA3">
        <w:t xml:space="preserve"> and</w:t>
      </w:r>
    </w:p>
    <w:p w14:paraId="52A61A9B" w14:textId="73CCC74E" w:rsidR="000954BA" w:rsidRPr="000954BA" w:rsidRDefault="000954BA" w:rsidP="00B66F29">
      <w:pPr>
        <w:pStyle w:val="ListParagraph"/>
        <w:numPr>
          <w:ilvl w:val="0"/>
          <w:numId w:val="30"/>
        </w:numPr>
        <w:jc w:val="both"/>
      </w:pPr>
      <w:proofErr w:type="gramStart"/>
      <w:r>
        <w:t>the</w:t>
      </w:r>
      <w:proofErr w:type="gramEnd"/>
      <w:r>
        <w:t xml:space="preserve"> </w:t>
      </w:r>
      <w:r w:rsidR="00791AA3">
        <w:t>standardised CPUE</w:t>
      </w:r>
      <w:r>
        <w:t xml:space="preserve"> index has remained quite flat in recent years (while catch falls the </w:t>
      </w:r>
      <w:r w:rsidR="00B66F29">
        <w:t xml:space="preserve">standardised </w:t>
      </w:r>
      <w:r>
        <w:t xml:space="preserve">CPUE index has remained relatively constant) and it </w:t>
      </w:r>
      <w:r w:rsidR="00C6310C">
        <w:t xml:space="preserve">is </w:t>
      </w:r>
      <w:r>
        <w:t>unclear as to why this is occurring. Recruitment variation may explain some of the trends</w:t>
      </w:r>
      <w:r w:rsidR="00791AA3">
        <w:t>,</w:t>
      </w:r>
      <w:r>
        <w:t xml:space="preserve"> however the </w:t>
      </w:r>
      <w:r w:rsidR="00C6310C">
        <w:t xml:space="preserve">extent of </w:t>
      </w:r>
      <w:r w:rsidR="00791AA3">
        <w:t xml:space="preserve">variation is uncertain. </w:t>
      </w:r>
      <w:r>
        <w:t xml:space="preserve">Similar uncertainties are being experienced for </w:t>
      </w:r>
      <w:r w:rsidR="00791AA3">
        <w:t xml:space="preserve">Spanish mackerel </w:t>
      </w:r>
      <w:r>
        <w:t>stocks on the east coast of Queensland.</w:t>
      </w:r>
    </w:p>
    <w:p w14:paraId="36266116" w14:textId="69D44D25" w:rsidR="00EB7A53" w:rsidRDefault="00191F78" w:rsidP="00B66F29">
      <w:pPr>
        <w:jc w:val="both"/>
      </w:pPr>
      <w:r>
        <w:t xml:space="preserve">TSRA recommended that the </w:t>
      </w:r>
      <w:r w:rsidR="00404EF2">
        <w:t>STWG</w:t>
      </w:r>
      <w:r w:rsidR="00C6310C">
        <w:t xml:space="preserve"> consider</w:t>
      </w:r>
      <w:r>
        <w:t xml:space="preserve"> the likelihood of catches actually being taken when considering overall risk</w:t>
      </w:r>
      <w:r w:rsidR="00C6310C">
        <w:t xml:space="preserve"> (noting </w:t>
      </w:r>
      <w:r w:rsidR="00791AA3">
        <w:t xml:space="preserve">that </w:t>
      </w:r>
      <w:r w:rsidR="00C6310C">
        <w:t xml:space="preserve">risk </w:t>
      </w:r>
      <w:r w:rsidR="00791AA3">
        <w:t>is comprised of</w:t>
      </w:r>
      <w:r w:rsidR="00C6310C">
        <w:t xml:space="preserve"> both consequence and likelihood)</w:t>
      </w:r>
      <w:r w:rsidR="00791AA3">
        <w:t xml:space="preserve">. </w:t>
      </w:r>
      <w:r>
        <w:t xml:space="preserve">TSRA advised that on their review of </w:t>
      </w:r>
      <w:r>
        <w:rPr>
          <w:i/>
        </w:rPr>
        <w:t>Busilacchi 2008</w:t>
      </w:r>
      <w:r>
        <w:t xml:space="preserve"> they found the </w:t>
      </w:r>
      <w:r w:rsidR="00B66F29">
        <w:t>report</w:t>
      </w:r>
      <w:r>
        <w:t xml:space="preserve"> estimated subsistence catch for Spanish mackerel to be 7.86</w:t>
      </w:r>
      <w:r w:rsidR="00791AA3">
        <w:t> </w:t>
      </w:r>
      <w:r>
        <w:t>t and not 12</w:t>
      </w:r>
      <w:r w:rsidR="00791AA3">
        <w:t> </w:t>
      </w:r>
      <w:r>
        <w:t xml:space="preserve">t as presented </w:t>
      </w:r>
      <w:r w:rsidR="00791AA3">
        <w:t>at the FWG meeting on 16-17 March 2017.</w:t>
      </w:r>
    </w:p>
    <w:p w14:paraId="7ED4EC5D" w14:textId="7589C817" w:rsidR="00191F78" w:rsidRDefault="00191F78" w:rsidP="002D1560">
      <w:pPr>
        <w:jc w:val="both"/>
      </w:pPr>
      <w:r w:rsidRPr="0017452B">
        <w:t xml:space="preserve">AFMA advised that </w:t>
      </w:r>
      <w:r w:rsidR="00C6310C" w:rsidRPr="0017452B">
        <w:t xml:space="preserve">the previously agreed </w:t>
      </w:r>
      <w:r w:rsidR="00B66F29" w:rsidRPr="0017452B">
        <w:t xml:space="preserve">catch </w:t>
      </w:r>
      <w:r w:rsidRPr="0017452B">
        <w:t xml:space="preserve">estimates </w:t>
      </w:r>
      <w:r w:rsidR="00B66F29" w:rsidRPr="0017452B">
        <w:t xml:space="preserve">for the </w:t>
      </w:r>
      <w:r w:rsidRPr="0017452B">
        <w:t>various sectors</w:t>
      </w:r>
      <w:r w:rsidR="005964EE" w:rsidRPr="0017452B">
        <w:t xml:space="preserve"> </w:t>
      </w:r>
      <w:r w:rsidR="00791AA3" w:rsidRPr="0017452B">
        <w:t>are</w:t>
      </w:r>
      <w:r w:rsidR="005964EE" w:rsidRPr="0017452B">
        <w:t xml:space="preserve"> </w:t>
      </w:r>
      <w:r w:rsidR="00791AA3" w:rsidRPr="0017452B">
        <w:t xml:space="preserve">based on </w:t>
      </w:r>
      <w:r w:rsidR="005964EE" w:rsidRPr="0017452B">
        <w:t>the best available</w:t>
      </w:r>
      <w:r w:rsidR="00791AA3" w:rsidRPr="0017452B">
        <w:t xml:space="preserve"> </w:t>
      </w:r>
      <w:r w:rsidR="00B66F29" w:rsidRPr="0017452B">
        <w:t xml:space="preserve">information </w:t>
      </w:r>
      <w:r w:rsidR="00791AA3" w:rsidRPr="0017452B">
        <w:t>and that</w:t>
      </w:r>
      <w:r w:rsidR="005964EE" w:rsidRPr="0017452B">
        <w:t xml:space="preserve"> </w:t>
      </w:r>
      <w:r w:rsidR="00B66F29" w:rsidRPr="0017452B">
        <w:t xml:space="preserve">any </w:t>
      </w:r>
      <w:r w:rsidR="00791AA3" w:rsidRPr="0017452B">
        <w:t>a</w:t>
      </w:r>
      <w:r w:rsidR="005964EE" w:rsidRPr="0017452B">
        <w:t>lternate e</w:t>
      </w:r>
      <w:r w:rsidR="00B60E09" w:rsidRPr="0017452B">
        <w:t>st</w:t>
      </w:r>
      <w:r w:rsidR="00791AA3" w:rsidRPr="0017452B">
        <w:t>imates must be evidence based.</w:t>
      </w:r>
      <w:r w:rsidR="00B60E09" w:rsidRPr="0017452B">
        <w:t xml:space="preserve"> </w:t>
      </w:r>
      <w:r w:rsidR="00B66F29" w:rsidRPr="0017452B">
        <w:t xml:space="preserve">The </w:t>
      </w:r>
      <w:r w:rsidR="00404EF2">
        <w:t>STWG</w:t>
      </w:r>
      <w:r w:rsidR="00B66F29" w:rsidRPr="0017452B">
        <w:t xml:space="preserve"> noted </w:t>
      </w:r>
      <w:r w:rsidR="0017452B" w:rsidRPr="0017452B">
        <w:t xml:space="preserve">that </w:t>
      </w:r>
      <w:r w:rsidR="00B66F29" w:rsidRPr="0017452B">
        <w:t>w</w:t>
      </w:r>
      <w:r w:rsidR="00B60E09" w:rsidRPr="0017452B">
        <w:t xml:space="preserve">hen there is uncertainty around </w:t>
      </w:r>
      <w:r w:rsidR="00791AA3" w:rsidRPr="0017452B">
        <w:t>catch</w:t>
      </w:r>
      <w:r w:rsidR="00B60E09" w:rsidRPr="0017452B">
        <w:t xml:space="preserve"> </w:t>
      </w:r>
      <w:r w:rsidR="00B66F29" w:rsidRPr="0017452B">
        <w:t>information</w:t>
      </w:r>
      <w:r w:rsidR="00B60E09" w:rsidRPr="0017452B">
        <w:t xml:space="preserve"> </w:t>
      </w:r>
      <w:r w:rsidR="0017452B" w:rsidRPr="0017452B">
        <w:t xml:space="preserve">a </w:t>
      </w:r>
      <w:r w:rsidR="00B60E09" w:rsidRPr="0017452B">
        <w:t>precaution</w:t>
      </w:r>
      <w:r w:rsidR="0017452B" w:rsidRPr="0017452B">
        <w:t>ary approach</w:t>
      </w:r>
      <w:r w:rsidR="00B60E09" w:rsidRPr="0017452B">
        <w:t xml:space="preserve"> must be taken</w:t>
      </w:r>
      <w:r w:rsidR="0017452B" w:rsidRPr="0017452B">
        <w:t xml:space="preserve">, particularly </w:t>
      </w:r>
      <w:r w:rsidR="00B66F29" w:rsidRPr="0017452B">
        <w:t>if</w:t>
      </w:r>
      <w:r w:rsidR="00B60E09" w:rsidRPr="0017452B">
        <w:t xml:space="preserve"> </w:t>
      </w:r>
      <w:r w:rsidR="00791AA3" w:rsidRPr="0017452B">
        <w:t xml:space="preserve">considering </w:t>
      </w:r>
      <w:r w:rsidR="00B60E09" w:rsidRPr="0017452B">
        <w:t>potential</w:t>
      </w:r>
      <w:r w:rsidR="00791AA3" w:rsidRPr="0017452B">
        <w:t>ly</w:t>
      </w:r>
      <w:r w:rsidR="00B60E09" w:rsidRPr="0017452B">
        <w:t xml:space="preserve"> less conservative </w:t>
      </w:r>
      <w:r w:rsidR="00791AA3" w:rsidRPr="0017452B">
        <w:t xml:space="preserve">catch </w:t>
      </w:r>
      <w:r w:rsidR="00B60E09" w:rsidRPr="0017452B">
        <w:t>estimates.</w:t>
      </w:r>
    </w:p>
    <w:p w14:paraId="133BB559" w14:textId="18A1AB5C" w:rsidR="006372E6" w:rsidRDefault="00C6310C" w:rsidP="002D1560">
      <w:pPr>
        <w:jc w:val="both"/>
      </w:pPr>
      <w:r>
        <w:lastRenderedPageBreak/>
        <w:t xml:space="preserve">The </w:t>
      </w:r>
      <w:r w:rsidR="00404EF2">
        <w:t>STWG</w:t>
      </w:r>
      <w:r w:rsidR="00B60E09">
        <w:t xml:space="preserve"> </w:t>
      </w:r>
      <w:r w:rsidRPr="005964EE">
        <w:rPr>
          <w:b/>
        </w:rPr>
        <w:t>agreed</w:t>
      </w:r>
      <w:r>
        <w:t xml:space="preserve"> for AFMA and TSRA to provide the subsistence catch calculations drawn from </w:t>
      </w:r>
      <w:r>
        <w:rPr>
          <w:i/>
        </w:rPr>
        <w:t xml:space="preserve">Busilacchi </w:t>
      </w:r>
      <w:r w:rsidR="00791AA3">
        <w:rPr>
          <w:i/>
        </w:rPr>
        <w:t xml:space="preserve">2008 </w:t>
      </w:r>
      <w:r>
        <w:t xml:space="preserve">work out-of-session </w:t>
      </w:r>
      <w:r w:rsidR="00B60E09">
        <w:t>and</w:t>
      </w:r>
      <w:r>
        <w:t xml:space="preserve"> confirm the </w:t>
      </w:r>
      <w:r w:rsidR="00B60E09">
        <w:t xml:space="preserve">final reported </w:t>
      </w:r>
      <w:r w:rsidR="0017452B">
        <w:t xml:space="preserve">subsistence </w:t>
      </w:r>
      <w:r>
        <w:t>catch estimate.</w:t>
      </w:r>
    </w:p>
    <w:p w14:paraId="17B30CE0" w14:textId="4231870D" w:rsidR="002D1560" w:rsidRDefault="00F46973" w:rsidP="002D1560">
      <w:pPr>
        <w:jc w:val="both"/>
      </w:pPr>
      <w:r>
        <w:t xml:space="preserve">Concern was raised that the </w:t>
      </w:r>
      <w:r>
        <w:rPr>
          <w:i/>
        </w:rPr>
        <w:t xml:space="preserve">Busilacchi </w:t>
      </w:r>
      <w:r>
        <w:t xml:space="preserve">work only included </w:t>
      </w:r>
      <w:r w:rsidR="0017452B">
        <w:t>catch estimates</w:t>
      </w:r>
      <w:r>
        <w:t xml:space="preserve"> </w:t>
      </w:r>
      <w:r w:rsidR="0017452B">
        <w:t>for</w:t>
      </w:r>
      <w:r>
        <w:t xml:space="preserve"> </w:t>
      </w:r>
      <w:r w:rsidR="0017452B">
        <w:t xml:space="preserve">Mer, </w:t>
      </w:r>
      <w:proofErr w:type="spellStart"/>
      <w:r w:rsidR="0017452B">
        <w:t>Erub</w:t>
      </w:r>
      <w:proofErr w:type="spellEnd"/>
      <w:r w:rsidR="0017452B">
        <w:t xml:space="preserve"> and Ugar; however Spanish mackerel are caught by all Torres Strait communities and also by recreational fishers. </w:t>
      </w:r>
      <w:r w:rsidR="002D1560">
        <w:t xml:space="preserve">AFMA agreed that further work is required to improve the catch estimate so it may be considered representative of catch </w:t>
      </w:r>
      <w:r w:rsidR="00E053E3">
        <w:t>for</w:t>
      </w:r>
      <w:r w:rsidR="002D1560">
        <w:t xml:space="preserve"> the region.</w:t>
      </w:r>
    </w:p>
    <w:p w14:paraId="69B0E79B" w14:textId="2B7E200B" w:rsidR="00F46973" w:rsidRPr="00F46973" w:rsidRDefault="00101329" w:rsidP="002D1560">
      <w:pPr>
        <w:jc w:val="both"/>
      </w:pPr>
      <w:r>
        <w:t xml:space="preserve">AFMA noted that it will be a high priority for the future RAG to provide </w:t>
      </w:r>
      <w:r w:rsidR="00B60E09">
        <w:t>advic</w:t>
      </w:r>
      <w:r>
        <w:t>e on data needs and research priori</w:t>
      </w:r>
      <w:r w:rsidR="006E30FF">
        <w:t>ties for the F</w:t>
      </w:r>
      <w:r w:rsidR="00B60E09">
        <w:t>ishery</w:t>
      </w:r>
      <w:r w:rsidR="002D1560">
        <w:t>,</w:t>
      </w:r>
      <w:r w:rsidR="00B60E09">
        <w:t xml:space="preserve"> building on</w:t>
      </w:r>
      <w:r>
        <w:t xml:space="preserve"> the recommendations from the updated stock assessment and previous meetings of both the FWG and </w:t>
      </w:r>
      <w:r w:rsidR="00404EF2">
        <w:t>STWG</w:t>
      </w:r>
      <w:r>
        <w:t>. This includes investigating possible cost-effective options for developing a recreational catch estimate.</w:t>
      </w:r>
    </w:p>
    <w:p w14:paraId="0EF08B1B" w14:textId="0D5FE91F" w:rsidR="005964EE" w:rsidRPr="002D1560" w:rsidRDefault="005964EE" w:rsidP="006C0C50">
      <w:pPr>
        <w:spacing w:before="0" w:after="0"/>
        <w:rPr>
          <w:szCs w:val="24"/>
        </w:rPr>
      </w:pPr>
      <w:r w:rsidRPr="002D1560">
        <w:rPr>
          <w:szCs w:val="24"/>
        </w:rPr>
        <w:t>The working group noted the following comments from members:</w:t>
      </w:r>
    </w:p>
    <w:p w14:paraId="4A300500" w14:textId="027BC79A" w:rsidR="005964EE" w:rsidRPr="002D1560" w:rsidRDefault="002D1560" w:rsidP="002D1560">
      <w:pPr>
        <w:pStyle w:val="ListParagraph"/>
        <w:numPr>
          <w:ilvl w:val="0"/>
          <w:numId w:val="31"/>
        </w:numPr>
        <w:contextualSpacing w:val="0"/>
        <w:jc w:val="both"/>
        <w:rPr>
          <w:szCs w:val="24"/>
        </w:rPr>
      </w:pPr>
      <w:r>
        <w:rPr>
          <w:szCs w:val="24"/>
        </w:rPr>
        <w:t>C</w:t>
      </w:r>
      <w:r w:rsidR="005964EE" w:rsidRPr="002D1560">
        <w:rPr>
          <w:szCs w:val="24"/>
        </w:rPr>
        <w:t>atches should be managed in accordance with the</w:t>
      </w:r>
      <w:r>
        <w:rPr>
          <w:szCs w:val="24"/>
        </w:rPr>
        <w:t xml:space="preserve"> best available</w:t>
      </w:r>
      <w:r w:rsidR="005964EE" w:rsidRPr="002D1560">
        <w:rPr>
          <w:szCs w:val="24"/>
        </w:rPr>
        <w:t xml:space="preserve"> science, if the science is showing catches should be 125</w:t>
      </w:r>
      <w:r>
        <w:rPr>
          <w:szCs w:val="24"/>
        </w:rPr>
        <w:t> t</w:t>
      </w:r>
      <w:r w:rsidR="005964EE" w:rsidRPr="002D1560">
        <w:rPr>
          <w:szCs w:val="24"/>
        </w:rPr>
        <w:t xml:space="preserve"> then this is what </w:t>
      </w:r>
      <w:r>
        <w:rPr>
          <w:szCs w:val="24"/>
        </w:rPr>
        <w:t>the Fishery should stick to</w:t>
      </w:r>
      <w:r w:rsidR="005964EE" w:rsidRPr="002D1560">
        <w:rPr>
          <w:szCs w:val="24"/>
        </w:rPr>
        <w:t>. Catches should not be increased above what</w:t>
      </w:r>
      <w:r>
        <w:rPr>
          <w:szCs w:val="24"/>
        </w:rPr>
        <w:t xml:space="preserve"> the assessment is recommending.</w:t>
      </w:r>
    </w:p>
    <w:p w14:paraId="2B45F3DC" w14:textId="2A25CB87" w:rsidR="00F46973" w:rsidRPr="002D1560" w:rsidRDefault="002D1560" w:rsidP="002D1560">
      <w:pPr>
        <w:pStyle w:val="ListParagraph"/>
        <w:numPr>
          <w:ilvl w:val="0"/>
          <w:numId w:val="31"/>
        </w:numPr>
        <w:contextualSpacing w:val="0"/>
        <w:jc w:val="both"/>
        <w:rPr>
          <w:szCs w:val="24"/>
        </w:rPr>
      </w:pPr>
      <w:r>
        <w:rPr>
          <w:szCs w:val="24"/>
        </w:rPr>
        <w:t>T</w:t>
      </w:r>
      <w:r w:rsidR="005964EE" w:rsidRPr="002D1560">
        <w:rPr>
          <w:szCs w:val="24"/>
        </w:rPr>
        <w:t>he risk profile indicates th</w:t>
      </w:r>
      <w:r w:rsidR="009D40C2" w:rsidRPr="002D1560">
        <w:rPr>
          <w:szCs w:val="24"/>
        </w:rPr>
        <w:t>at the risk remains flat at 150</w:t>
      </w:r>
      <w:r>
        <w:rPr>
          <w:szCs w:val="24"/>
        </w:rPr>
        <w:t> </w:t>
      </w:r>
      <w:r w:rsidR="005964EE" w:rsidRPr="002D1560">
        <w:rPr>
          <w:szCs w:val="24"/>
        </w:rPr>
        <w:t>t</w:t>
      </w:r>
      <w:r>
        <w:rPr>
          <w:szCs w:val="24"/>
        </w:rPr>
        <w:t>,</w:t>
      </w:r>
      <w:r w:rsidR="005964EE" w:rsidRPr="002D1560">
        <w:rPr>
          <w:szCs w:val="24"/>
        </w:rPr>
        <w:t xml:space="preserve"> so having catches above 125</w:t>
      </w:r>
      <w:r>
        <w:rPr>
          <w:szCs w:val="24"/>
        </w:rPr>
        <w:t> </w:t>
      </w:r>
      <w:r w:rsidR="005964EE" w:rsidRPr="002D1560">
        <w:rPr>
          <w:szCs w:val="24"/>
        </w:rPr>
        <w:t>t but below 150</w:t>
      </w:r>
      <w:r>
        <w:rPr>
          <w:szCs w:val="24"/>
        </w:rPr>
        <w:t> </w:t>
      </w:r>
      <w:r w:rsidR="005964EE" w:rsidRPr="002D1560">
        <w:rPr>
          <w:szCs w:val="24"/>
        </w:rPr>
        <w:t xml:space="preserve">t may be acceptable for </w:t>
      </w:r>
      <w:r>
        <w:rPr>
          <w:szCs w:val="24"/>
        </w:rPr>
        <w:t xml:space="preserve">the </w:t>
      </w:r>
      <w:r w:rsidR="005964EE" w:rsidRPr="002D1560">
        <w:rPr>
          <w:szCs w:val="24"/>
        </w:rPr>
        <w:t>next year only</w:t>
      </w:r>
      <w:r>
        <w:rPr>
          <w:szCs w:val="24"/>
        </w:rPr>
        <w:t>.</w:t>
      </w:r>
    </w:p>
    <w:p w14:paraId="4054B0A6" w14:textId="6B288A3A" w:rsidR="00F46973" w:rsidRPr="002D1560" w:rsidRDefault="002D1560" w:rsidP="002D1560">
      <w:pPr>
        <w:pStyle w:val="ListParagraph"/>
        <w:numPr>
          <w:ilvl w:val="0"/>
          <w:numId w:val="31"/>
        </w:numPr>
        <w:contextualSpacing w:val="0"/>
        <w:jc w:val="both"/>
        <w:rPr>
          <w:szCs w:val="24"/>
        </w:rPr>
      </w:pPr>
      <w:r>
        <w:rPr>
          <w:szCs w:val="24"/>
        </w:rPr>
        <w:t>G</w:t>
      </w:r>
      <w:r w:rsidR="005964EE" w:rsidRPr="002D1560">
        <w:rPr>
          <w:szCs w:val="24"/>
        </w:rPr>
        <w:t>iven the level of uncertainty raised even ab</w:t>
      </w:r>
      <w:r w:rsidR="00F46973" w:rsidRPr="002D1560">
        <w:rPr>
          <w:szCs w:val="24"/>
        </w:rPr>
        <w:t xml:space="preserve">out the </w:t>
      </w:r>
      <w:r>
        <w:rPr>
          <w:szCs w:val="24"/>
        </w:rPr>
        <w:t xml:space="preserve">standardised </w:t>
      </w:r>
      <w:r w:rsidR="00F46973" w:rsidRPr="002D1560">
        <w:rPr>
          <w:szCs w:val="24"/>
        </w:rPr>
        <w:t>CPUE data and if</w:t>
      </w:r>
      <w:r w:rsidR="005964EE" w:rsidRPr="002D1560">
        <w:rPr>
          <w:szCs w:val="24"/>
        </w:rPr>
        <w:t xml:space="preserve"> catch estimates are more uncertai</w:t>
      </w:r>
      <w:r w:rsidR="00F46973" w:rsidRPr="002D1560">
        <w:rPr>
          <w:szCs w:val="24"/>
        </w:rPr>
        <w:t>n than has been accounted for, the risk is likely to be larger than what is shown in the risk profiles</w:t>
      </w:r>
      <w:r>
        <w:rPr>
          <w:szCs w:val="24"/>
        </w:rPr>
        <w:t xml:space="preserve"> </w:t>
      </w:r>
      <w:r w:rsidRPr="007571A8">
        <w:rPr>
          <w:b/>
        </w:rPr>
        <w:t>(Attachment </w:t>
      </w:r>
      <w:r w:rsidR="00EE0F12">
        <w:rPr>
          <w:b/>
        </w:rPr>
        <w:t>A</w:t>
      </w:r>
      <w:r w:rsidRPr="007571A8">
        <w:rPr>
          <w:b/>
        </w:rPr>
        <w:t>, Figure 1)</w:t>
      </w:r>
      <w:r w:rsidR="00F46973" w:rsidRPr="002D1560">
        <w:rPr>
          <w:szCs w:val="24"/>
        </w:rPr>
        <w:t xml:space="preserve">. From a scientific point of view there should be a more precautionary approach taken, the </w:t>
      </w:r>
      <w:r w:rsidR="00404EF2">
        <w:rPr>
          <w:szCs w:val="24"/>
        </w:rPr>
        <w:t>STWG</w:t>
      </w:r>
      <w:r w:rsidR="009D40C2" w:rsidRPr="002D1560">
        <w:rPr>
          <w:rFonts w:cs="Arial"/>
          <w:szCs w:val="24"/>
        </w:rPr>
        <w:t xml:space="preserve"> </w:t>
      </w:r>
      <w:r w:rsidR="00F46973" w:rsidRPr="002D1560">
        <w:rPr>
          <w:szCs w:val="24"/>
        </w:rPr>
        <w:t>agreed that 125</w:t>
      </w:r>
      <w:r>
        <w:rPr>
          <w:szCs w:val="24"/>
        </w:rPr>
        <w:t> </w:t>
      </w:r>
      <w:r w:rsidR="00F46973" w:rsidRPr="002D1560">
        <w:rPr>
          <w:szCs w:val="24"/>
        </w:rPr>
        <w:t>t is the recommendation at the time and it is base</w:t>
      </w:r>
      <w:r>
        <w:rPr>
          <w:szCs w:val="24"/>
        </w:rPr>
        <w:t>d on the best available science.</w:t>
      </w:r>
    </w:p>
    <w:p w14:paraId="3DA0C1A8" w14:textId="3FD1A1DE" w:rsidR="00F46973" w:rsidRPr="002D1560" w:rsidRDefault="002D1560" w:rsidP="002D1560">
      <w:pPr>
        <w:pStyle w:val="ListParagraph"/>
        <w:numPr>
          <w:ilvl w:val="0"/>
          <w:numId w:val="31"/>
        </w:numPr>
        <w:contextualSpacing w:val="0"/>
        <w:jc w:val="both"/>
        <w:rPr>
          <w:szCs w:val="24"/>
        </w:rPr>
      </w:pPr>
      <w:r>
        <w:rPr>
          <w:szCs w:val="24"/>
        </w:rPr>
        <w:t>I</w:t>
      </w:r>
      <w:r w:rsidR="00F46973" w:rsidRPr="002D1560">
        <w:rPr>
          <w:szCs w:val="24"/>
        </w:rPr>
        <w:t>n light of uncertainty the precautionary principle should</w:t>
      </w:r>
      <w:r>
        <w:rPr>
          <w:szCs w:val="24"/>
        </w:rPr>
        <w:t xml:space="preserve"> be applied.</w:t>
      </w:r>
    </w:p>
    <w:p w14:paraId="663B50B9" w14:textId="51785FB4" w:rsidR="007C7AB1" w:rsidRPr="002D1560" w:rsidRDefault="009D40C2" w:rsidP="002D1560">
      <w:pPr>
        <w:pStyle w:val="ListParagraph"/>
        <w:numPr>
          <w:ilvl w:val="0"/>
          <w:numId w:val="31"/>
        </w:numPr>
        <w:contextualSpacing w:val="0"/>
        <w:jc w:val="both"/>
        <w:rPr>
          <w:szCs w:val="24"/>
        </w:rPr>
      </w:pPr>
      <w:r w:rsidRPr="002D1560">
        <w:rPr>
          <w:szCs w:val="24"/>
        </w:rPr>
        <w:t xml:space="preserve">TIB </w:t>
      </w:r>
      <w:r w:rsidR="007C7AB1" w:rsidRPr="002D1560">
        <w:rPr>
          <w:szCs w:val="24"/>
        </w:rPr>
        <w:t xml:space="preserve">finfish licence </w:t>
      </w:r>
      <w:r w:rsidRPr="002D1560">
        <w:rPr>
          <w:szCs w:val="24"/>
        </w:rPr>
        <w:t xml:space="preserve">numbers </w:t>
      </w:r>
      <w:r w:rsidR="007C7AB1" w:rsidRPr="002D1560">
        <w:rPr>
          <w:szCs w:val="24"/>
        </w:rPr>
        <w:t xml:space="preserve">have increased from 136 to 270. This suggest at least some level of increased TIB interest in the </w:t>
      </w:r>
      <w:r w:rsidR="002D1560">
        <w:rPr>
          <w:szCs w:val="24"/>
        </w:rPr>
        <w:t>F</w:t>
      </w:r>
      <w:r w:rsidR="007C7AB1" w:rsidRPr="002D1560">
        <w:rPr>
          <w:szCs w:val="24"/>
        </w:rPr>
        <w:t>ishery</w:t>
      </w:r>
      <w:r w:rsidR="002D1560">
        <w:rPr>
          <w:szCs w:val="24"/>
        </w:rPr>
        <w:t xml:space="preserve">, this </w:t>
      </w:r>
      <w:r w:rsidR="007C7AB1" w:rsidRPr="002D1560">
        <w:rPr>
          <w:szCs w:val="24"/>
        </w:rPr>
        <w:t xml:space="preserve">adds to the uncertainty in the estimates of likely TIB </w:t>
      </w:r>
      <w:r w:rsidR="002D1560">
        <w:rPr>
          <w:szCs w:val="24"/>
        </w:rPr>
        <w:t>catch.</w:t>
      </w:r>
    </w:p>
    <w:p w14:paraId="3C0C36FE" w14:textId="35A6C321" w:rsidR="00F46973" w:rsidRPr="002D1560" w:rsidRDefault="002D1560" w:rsidP="002D1560">
      <w:pPr>
        <w:pStyle w:val="ListParagraph"/>
        <w:numPr>
          <w:ilvl w:val="0"/>
          <w:numId w:val="31"/>
        </w:numPr>
        <w:contextualSpacing w:val="0"/>
        <w:jc w:val="both"/>
        <w:rPr>
          <w:szCs w:val="24"/>
        </w:rPr>
      </w:pPr>
      <w:r>
        <w:rPr>
          <w:szCs w:val="24"/>
        </w:rPr>
        <w:t>N</w:t>
      </w:r>
      <w:r w:rsidR="00F46973" w:rsidRPr="002D1560">
        <w:rPr>
          <w:szCs w:val="24"/>
        </w:rPr>
        <w:t xml:space="preserve">ot taking the precautionary principle is in no-ones interest. Taking more than the RBC provides short-term gain with potential consequences. </w:t>
      </w:r>
      <w:r w:rsidR="007C7AB1" w:rsidRPr="002D1560">
        <w:rPr>
          <w:szCs w:val="24"/>
        </w:rPr>
        <w:t>Even if the</w:t>
      </w:r>
      <w:r w:rsidR="00F46973" w:rsidRPr="002D1560">
        <w:rPr>
          <w:szCs w:val="24"/>
        </w:rPr>
        <w:t xml:space="preserve"> </w:t>
      </w:r>
      <w:r w:rsidR="009D40C2" w:rsidRPr="002D1560">
        <w:rPr>
          <w:szCs w:val="24"/>
        </w:rPr>
        <w:t xml:space="preserve">risk </w:t>
      </w:r>
      <w:r w:rsidR="00F46973" w:rsidRPr="002D1560">
        <w:rPr>
          <w:szCs w:val="24"/>
        </w:rPr>
        <w:t xml:space="preserve">likelihood </w:t>
      </w:r>
      <w:r w:rsidR="007C7AB1" w:rsidRPr="002D1560">
        <w:rPr>
          <w:szCs w:val="24"/>
        </w:rPr>
        <w:t>is</w:t>
      </w:r>
      <w:r w:rsidR="00F46973" w:rsidRPr="002D1560">
        <w:rPr>
          <w:szCs w:val="24"/>
        </w:rPr>
        <w:t xml:space="preserve"> low i</w:t>
      </w:r>
      <w:r w:rsidR="007C7AB1" w:rsidRPr="002D1560">
        <w:rPr>
          <w:szCs w:val="24"/>
        </w:rPr>
        <w:t>t would be unwise to go against the best available science and scientifically valid catch estimates.</w:t>
      </w:r>
      <w:r w:rsidR="00F46973" w:rsidRPr="002D1560">
        <w:rPr>
          <w:szCs w:val="24"/>
        </w:rPr>
        <w:t xml:space="preserve"> </w:t>
      </w:r>
      <w:r w:rsidR="007C7AB1" w:rsidRPr="002D1560">
        <w:rPr>
          <w:szCs w:val="24"/>
        </w:rPr>
        <w:t>W</w:t>
      </w:r>
      <w:r w:rsidR="00F46973" w:rsidRPr="002D1560">
        <w:rPr>
          <w:szCs w:val="24"/>
        </w:rPr>
        <w:t xml:space="preserve">e need </w:t>
      </w:r>
      <w:r w:rsidR="007C7AB1" w:rsidRPr="002D1560">
        <w:rPr>
          <w:szCs w:val="24"/>
        </w:rPr>
        <w:t xml:space="preserve">to first improve the </w:t>
      </w:r>
      <w:r w:rsidR="00F46973" w:rsidRPr="002D1560">
        <w:rPr>
          <w:szCs w:val="24"/>
        </w:rPr>
        <w:t>data</w:t>
      </w:r>
      <w:r>
        <w:rPr>
          <w:szCs w:val="24"/>
        </w:rPr>
        <w:t xml:space="preserve"> to support increasing the TAC.</w:t>
      </w:r>
    </w:p>
    <w:p w14:paraId="651F951E" w14:textId="2F5B1071" w:rsidR="005964EE" w:rsidRPr="002D1560" w:rsidRDefault="002D1560" w:rsidP="002D1560">
      <w:pPr>
        <w:pStyle w:val="ListParagraph"/>
        <w:numPr>
          <w:ilvl w:val="0"/>
          <w:numId w:val="31"/>
        </w:numPr>
        <w:contextualSpacing w:val="0"/>
        <w:jc w:val="both"/>
        <w:rPr>
          <w:szCs w:val="24"/>
        </w:rPr>
      </w:pPr>
      <w:r>
        <w:rPr>
          <w:szCs w:val="24"/>
        </w:rPr>
        <w:t>E</w:t>
      </w:r>
      <w:r w:rsidR="009D40C2" w:rsidRPr="002D1560">
        <w:rPr>
          <w:szCs w:val="24"/>
        </w:rPr>
        <w:t xml:space="preserve">ffective and </w:t>
      </w:r>
      <w:r w:rsidR="00101329" w:rsidRPr="002D1560">
        <w:rPr>
          <w:szCs w:val="24"/>
        </w:rPr>
        <w:t xml:space="preserve">timely information sharing is required between the various advisory groups for the </w:t>
      </w:r>
      <w:r>
        <w:rPr>
          <w:szCs w:val="24"/>
        </w:rPr>
        <w:t>F</w:t>
      </w:r>
      <w:r w:rsidR="00101329" w:rsidRPr="002D1560">
        <w:rPr>
          <w:szCs w:val="24"/>
        </w:rPr>
        <w:t xml:space="preserve">ishery (FWG, </w:t>
      </w:r>
      <w:r w:rsidR="00404EF2">
        <w:rPr>
          <w:szCs w:val="24"/>
        </w:rPr>
        <w:t>STWG</w:t>
      </w:r>
      <w:r w:rsidR="00101329" w:rsidRPr="002D1560">
        <w:rPr>
          <w:szCs w:val="24"/>
        </w:rPr>
        <w:t xml:space="preserve"> and the TSRA Quota Management </w:t>
      </w:r>
      <w:r>
        <w:rPr>
          <w:szCs w:val="24"/>
        </w:rPr>
        <w:t>Committee).</w:t>
      </w:r>
    </w:p>
    <w:p w14:paraId="7F6256BC" w14:textId="75EA88F6" w:rsidR="005F1A22" w:rsidRPr="002D1560" w:rsidRDefault="002D1560" w:rsidP="006E30FF">
      <w:pPr>
        <w:pStyle w:val="ListParagraph"/>
        <w:numPr>
          <w:ilvl w:val="0"/>
          <w:numId w:val="31"/>
        </w:numPr>
        <w:contextualSpacing w:val="0"/>
        <w:rPr>
          <w:szCs w:val="24"/>
        </w:rPr>
      </w:pPr>
      <w:r w:rsidRPr="002D1560">
        <w:rPr>
          <w:szCs w:val="24"/>
        </w:rPr>
        <w:t>Effective</w:t>
      </w:r>
      <w:r w:rsidR="005F1A22" w:rsidRPr="002D1560">
        <w:rPr>
          <w:szCs w:val="24"/>
        </w:rPr>
        <w:t xml:space="preserve"> catch monitoring </w:t>
      </w:r>
      <w:r w:rsidR="009D40C2" w:rsidRPr="002D1560">
        <w:rPr>
          <w:szCs w:val="24"/>
        </w:rPr>
        <w:t xml:space="preserve">for the </w:t>
      </w:r>
      <w:r>
        <w:rPr>
          <w:szCs w:val="24"/>
        </w:rPr>
        <w:t>F</w:t>
      </w:r>
      <w:r w:rsidR="009D40C2" w:rsidRPr="002D1560">
        <w:rPr>
          <w:szCs w:val="24"/>
        </w:rPr>
        <w:t xml:space="preserve">ishery </w:t>
      </w:r>
      <w:r w:rsidR="005F1A22" w:rsidRPr="002D1560">
        <w:rPr>
          <w:szCs w:val="24"/>
        </w:rPr>
        <w:t>is req</w:t>
      </w:r>
      <w:r>
        <w:rPr>
          <w:szCs w:val="24"/>
        </w:rPr>
        <w:t>uired as a matter of a priority.</w:t>
      </w:r>
    </w:p>
    <w:p w14:paraId="02214667" w14:textId="360F41E5" w:rsidR="002D1560" w:rsidRPr="006372E6" w:rsidRDefault="002D1560" w:rsidP="00DF39A8">
      <w:pPr>
        <w:pStyle w:val="ListParagraph"/>
        <w:numPr>
          <w:ilvl w:val="0"/>
          <w:numId w:val="31"/>
        </w:numPr>
        <w:spacing w:before="0" w:after="200"/>
        <w:contextualSpacing w:val="0"/>
        <w:rPr>
          <w:szCs w:val="24"/>
        </w:rPr>
      </w:pPr>
      <w:r w:rsidRPr="006372E6">
        <w:rPr>
          <w:szCs w:val="24"/>
        </w:rPr>
        <w:t>I</w:t>
      </w:r>
      <w:r w:rsidR="007C7AB1" w:rsidRPr="006372E6">
        <w:rPr>
          <w:szCs w:val="24"/>
        </w:rPr>
        <w:t xml:space="preserve">t would be helpful for future meetings </w:t>
      </w:r>
      <w:r w:rsidR="005A7E45" w:rsidRPr="006372E6">
        <w:rPr>
          <w:szCs w:val="24"/>
        </w:rPr>
        <w:t xml:space="preserve">to be provided the figure of the </w:t>
      </w:r>
      <w:r w:rsidR="007C7AB1" w:rsidRPr="006372E6">
        <w:rPr>
          <w:szCs w:val="24"/>
        </w:rPr>
        <w:t>total leas</w:t>
      </w:r>
      <w:r w:rsidR="005A7E45" w:rsidRPr="006372E6">
        <w:rPr>
          <w:szCs w:val="24"/>
        </w:rPr>
        <w:t>ed catch for each fishing season</w:t>
      </w:r>
      <w:r w:rsidRPr="006372E6">
        <w:rPr>
          <w:szCs w:val="24"/>
        </w:rPr>
        <w:t xml:space="preserve">. </w:t>
      </w:r>
      <w:r w:rsidR="005A7E45" w:rsidRPr="006372E6">
        <w:rPr>
          <w:szCs w:val="24"/>
        </w:rPr>
        <w:t xml:space="preserve">The </w:t>
      </w:r>
      <w:r w:rsidR="00404EF2">
        <w:rPr>
          <w:szCs w:val="24"/>
        </w:rPr>
        <w:t>STWG</w:t>
      </w:r>
      <w:r w:rsidR="007C7AB1" w:rsidRPr="006372E6">
        <w:rPr>
          <w:szCs w:val="24"/>
        </w:rPr>
        <w:t xml:space="preserve"> noted that TSRA would need to review its confidentiality arrangements </w:t>
      </w:r>
      <w:r w:rsidR="005A7E45" w:rsidRPr="006372E6">
        <w:rPr>
          <w:szCs w:val="24"/>
        </w:rPr>
        <w:t>before providing this</w:t>
      </w:r>
      <w:r w:rsidR="007C7AB1" w:rsidRPr="006372E6">
        <w:rPr>
          <w:szCs w:val="24"/>
        </w:rPr>
        <w:t xml:space="preserve"> information.</w:t>
      </w:r>
      <w:r w:rsidRPr="006372E6">
        <w:rPr>
          <w:szCs w:val="24"/>
        </w:rPr>
        <w:br w:type="page"/>
      </w:r>
    </w:p>
    <w:p w14:paraId="341F347A" w14:textId="2DC660E2" w:rsidR="007C7AB1" w:rsidRPr="002D1560" w:rsidRDefault="007C7AB1" w:rsidP="006372E6">
      <w:pPr>
        <w:jc w:val="both"/>
        <w:rPr>
          <w:szCs w:val="24"/>
        </w:rPr>
      </w:pPr>
      <w:r w:rsidRPr="002D1560">
        <w:rPr>
          <w:szCs w:val="24"/>
        </w:rPr>
        <w:lastRenderedPageBreak/>
        <w:t xml:space="preserve">Having regard for the views of all members the </w:t>
      </w:r>
      <w:r w:rsidR="00404EF2">
        <w:rPr>
          <w:szCs w:val="24"/>
        </w:rPr>
        <w:t>STWG</w:t>
      </w:r>
      <w:r w:rsidRPr="002D1560">
        <w:rPr>
          <w:szCs w:val="24"/>
        </w:rPr>
        <w:t xml:space="preserve"> </w:t>
      </w:r>
      <w:r w:rsidRPr="002D1560">
        <w:rPr>
          <w:b/>
          <w:szCs w:val="24"/>
        </w:rPr>
        <w:t xml:space="preserve">recommended </w:t>
      </w:r>
      <w:r w:rsidR="006372E6">
        <w:rPr>
          <w:b/>
          <w:szCs w:val="24"/>
        </w:rPr>
        <w:t xml:space="preserve">the total allowable </w:t>
      </w:r>
      <w:r w:rsidRPr="002D1560">
        <w:rPr>
          <w:szCs w:val="24"/>
        </w:rPr>
        <w:t>catch</w:t>
      </w:r>
      <w:r w:rsidR="006372E6">
        <w:rPr>
          <w:szCs w:val="24"/>
        </w:rPr>
        <w:t xml:space="preserve"> for the 2017/18 fishing season </w:t>
      </w:r>
      <w:r w:rsidRPr="002D1560">
        <w:rPr>
          <w:szCs w:val="24"/>
        </w:rPr>
        <w:t xml:space="preserve">remain at or below the </w:t>
      </w:r>
      <w:r w:rsidR="009D40C2" w:rsidRPr="002D1560">
        <w:rPr>
          <w:szCs w:val="24"/>
        </w:rPr>
        <w:t>125</w:t>
      </w:r>
      <w:r w:rsidR="002D1560">
        <w:rPr>
          <w:szCs w:val="24"/>
        </w:rPr>
        <w:t> </w:t>
      </w:r>
      <w:r w:rsidR="009D40C2" w:rsidRPr="002D1560">
        <w:rPr>
          <w:szCs w:val="24"/>
        </w:rPr>
        <w:t xml:space="preserve">t </w:t>
      </w:r>
      <w:r w:rsidRPr="002D1560">
        <w:rPr>
          <w:szCs w:val="24"/>
        </w:rPr>
        <w:t>RBC noting that:</w:t>
      </w:r>
    </w:p>
    <w:p w14:paraId="0CAF36B7" w14:textId="58A1D48A" w:rsidR="007C7AB1" w:rsidRPr="002D1560" w:rsidRDefault="006372E6" w:rsidP="006372E6">
      <w:pPr>
        <w:pStyle w:val="ListParagraph"/>
        <w:numPr>
          <w:ilvl w:val="0"/>
          <w:numId w:val="32"/>
        </w:numPr>
        <w:ind w:left="714" w:hanging="357"/>
        <w:contextualSpacing w:val="0"/>
        <w:jc w:val="both"/>
        <w:rPr>
          <w:szCs w:val="24"/>
        </w:rPr>
      </w:pPr>
      <w:r>
        <w:rPr>
          <w:szCs w:val="24"/>
        </w:rPr>
        <w:t>d</w:t>
      </w:r>
      <w:r w:rsidR="005A7E45">
        <w:rPr>
          <w:szCs w:val="24"/>
        </w:rPr>
        <w:t>ue to uncertain catch estimates</w:t>
      </w:r>
      <w:r w:rsidR="005F1A22" w:rsidRPr="002D1560">
        <w:rPr>
          <w:szCs w:val="24"/>
        </w:rPr>
        <w:t xml:space="preserve"> a precautionary approach should be adopted;</w:t>
      </w:r>
      <w:r w:rsidR="005A7E45">
        <w:rPr>
          <w:szCs w:val="24"/>
        </w:rPr>
        <w:t xml:space="preserve"> and</w:t>
      </w:r>
    </w:p>
    <w:p w14:paraId="47F97885" w14:textId="3DE2CC4C" w:rsidR="005F1A22" w:rsidRPr="005A7E45" w:rsidRDefault="005F1A22" w:rsidP="006372E6">
      <w:pPr>
        <w:pStyle w:val="ListParagraph"/>
        <w:numPr>
          <w:ilvl w:val="0"/>
          <w:numId w:val="32"/>
        </w:numPr>
        <w:ind w:left="714" w:hanging="357"/>
        <w:contextualSpacing w:val="0"/>
        <w:jc w:val="both"/>
        <w:rPr>
          <w:szCs w:val="24"/>
        </w:rPr>
      </w:pPr>
      <w:r w:rsidRPr="005A7E45">
        <w:rPr>
          <w:szCs w:val="24"/>
        </w:rPr>
        <w:t xml:space="preserve">it is unlikely that </w:t>
      </w:r>
      <w:r w:rsidR="005A7E45" w:rsidRPr="005A7E45">
        <w:rPr>
          <w:szCs w:val="24"/>
        </w:rPr>
        <w:t>F</w:t>
      </w:r>
      <w:r w:rsidRPr="005A7E45">
        <w:rPr>
          <w:szCs w:val="24"/>
        </w:rPr>
        <w:t>ishery will be meeting the agreed management target of building to B</w:t>
      </w:r>
      <w:r w:rsidRPr="005A7E45">
        <w:rPr>
          <w:szCs w:val="24"/>
          <w:vertAlign w:val="subscript"/>
        </w:rPr>
        <w:t>60</w:t>
      </w:r>
      <w:r w:rsidR="005A7E45" w:rsidRPr="005A7E45">
        <w:rPr>
          <w:szCs w:val="24"/>
        </w:rPr>
        <w:t xml:space="preserve"> if catch</w:t>
      </w:r>
      <w:r w:rsidRPr="005A7E45">
        <w:rPr>
          <w:szCs w:val="24"/>
        </w:rPr>
        <w:t xml:space="preserve"> </w:t>
      </w:r>
      <w:r w:rsidR="005A7E45" w:rsidRPr="005A7E45">
        <w:rPr>
          <w:szCs w:val="24"/>
        </w:rPr>
        <w:t>is</w:t>
      </w:r>
      <w:r w:rsidRPr="005A7E45">
        <w:rPr>
          <w:szCs w:val="24"/>
        </w:rPr>
        <w:t xml:space="preserve"> around 150</w:t>
      </w:r>
      <w:r w:rsidR="002D1560" w:rsidRPr="005A7E45">
        <w:rPr>
          <w:szCs w:val="24"/>
        </w:rPr>
        <w:t> </w:t>
      </w:r>
      <w:r w:rsidR="005A7E45" w:rsidRPr="005A7E45">
        <w:rPr>
          <w:szCs w:val="24"/>
        </w:rPr>
        <w:t xml:space="preserve">t. </w:t>
      </w:r>
      <w:r w:rsidR="005A7E45">
        <w:rPr>
          <w:szCs w:val="24"/>
        </w:rPr>
        <w:t xml:space="preserve">The </w:t>
      </w:r>
      <w:r w:rsidR="005A7E45" w:rsidRPr="00B66F29">
        <w:t xml:space="preserve">150 t </w:t>
      </w:r>
      <w:r w:rsidR="005A7E45">
        <w:t xml:space="preserve">catch scenario </w:t>
      </w:r>
      <w:r w:rsidR="005A7E45" w:rsidRPr="00B66F29">
        <w:t>has a 30 per cent probability of reducing the stock below current estimated levels (B</w:t>
      </w:r>
      <w:r w:rsidR="005A7E45" w:rsidRPr="00B66F29">
        <w:rPr>
          <w:vertAlign w:val="subscript"/>
        </w:rPr>
        <w:t>40</w:t>
      </w:r>
      <w:r w:rsidR="005A7E45" w:rsidRPr="00B66F29">
        <w:t>) and it is unlikely the stock will rebuild towards the agree target reference point B</w:t>
      </w:r>
      <w:r w:rsidR="005A7E45" w:rsidRPr="00B66F29">
        <w:rPr>
          <w:vertAlign w:val="subscript"/>
        </w:rPr>
        <w:t>60</w:t>
      </w:r>
      <w:r w:rsidR="005A7E45">
        <w:rPr>
          <w:szCs w:val="24"/>
        </w:rPr>
        <w:t>.</w:t>
      </w:r>
    </w:p>
    <w:p w14:paraId="59A7DD76" w14:textId="77777777" w:rsidR="00D56040" w:rsidRDefault="00D56040" w:rsidP="00DB40AE">
      <w:pPr>
        <w:pStyle w:val="Heading2"/>
        <w:spacing w:before="0" w:after="0"/>
      </w:pPr>
    </w:p>
    <w:p w14:paraId="17E7DD3F" w14:textId="48F2D89B" w:rsidR="00DC3A44" w:rsidRDefault="00EB7A53" w:rsidP="00DB40AE">
      <w:pPr>
        <w:pStyle w:val="Heading2"/>
        <w:spacing w:before="0" w:after="0"/>
      </w:pPr>
      <w:bookmarkStart w:id="7" w:name="_Toc479329944"/>
      <w:r w:rsidRPr="00EB7A53">
        <w:rPr>
          <w:i/>
        </w:rPr>
        <w:t>Spanish mackerel subsistence catch and the proposed Total Allowable Catch limit</w:t>
      </w:r>
      <w:r w:rsidR="004A19A8" w:rsidRPr="004A19A8">
        <w:t xml:space="preserve"> </w:t>
      </w:r>
      <w:r w:rsidR="004A19A8">
        <w:t>(TSRA paper)</w:t>
      </w:r>
      <w:bookmarkEnd w:id="7"/>
    </w:p>
    <w:p w14:paraId="57F8F52D" w14:textId="2BD07169" w:rsidR="004A19A8" w:rsidRPr="006E30FF" w:rsidRDefault="004A19A8" w:rsidP="002D1560">
      <w:pPr>
        <w:jc w:val="both"/>
      </w:pPr>
      <w:r w:rsidRPr="006E30FF">
        <w:rPr>
          <w:rFonts w:cs="Arial"/>
        </w:rPr>
        <w:t>Meeting paper titled: “</w:t>
      </w:r>
      <w:r w:rsidRPr="006E30FF">
        <w:rPr>
          <w:rFonts w:cs="Arial"/>
          <w:i/>
        </w:rPr>
        <w:t>Spanish mackerel subsistence catch and the proposed Total Allowable Cath limit</w:t>
      </w:r>
      <w:r w:rsidRPr="006E30FF">
        <w:rPr>
          <w:rFonts w:cs="Arial"/>
        </w:rPr>
        <w:t xml:space="preserve">” </w:t>
      </w:r>
      <w:r w:rsidRPr="006372E6">
        <w:rPr>
          <w:b/>
        </w:rPr>
        <w:t>(</w:t>
      </w:r>
      <w:r w:rsidR="006372E6">
        <w:rPr>
          <w:b/>
        </w:rPr>
        <w:t>Attachment </w:t>
      </w:r>
      <w:r w:rsidR="00EE0F12">
        <w:rPr>
          <w:b/>
        </w:rPr>
        <w:t>B</w:t>
      </w:r>
      <w:r w:rsidRPr="006372E6">
        <w:rPr>
          <w:b/>
        </w:rPr>
        <w:t>)</w:t>
      </w:r>
      <w:r w:rsidRPr="006E30FF">
        <w:t>.</w:t>
      </w:r>
    </w:p>
    <w:p w14:paraId="40A58936" w14:textId="6992AAEC" w:rsidR="00836B67" w:rsidRPr="004A31EB" w:rsidRDefault="00EB7A53" w:rsidP="002D1560">
      <w:pPr>
        <w:jc w:val="both"/>
        <w:rPr>
          <w:sz w:val="22"/>
        </w:rPr>
      </w:pPr>
      <w:r w:rsidRPr="006E30FF">
        <w:t xml:space="preserve">TSRA advised that the paper was to be taken as read. No further </w:t>
      </w:r>
      <w:r w:rsidR="002D1560">
        <w:t>discussion was had on the paper</w:t>
      </w:r>
      <w:r w:rsidR="005A7E45">
        <w:t>.</w:t>
      </w:r>
    </w:p>
    <w:sectPr w:rsidR="00836B67" w:rsidRPr="004A31EB" w:rsidSect="005971E3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021" w:right="1134" w:bottom="1021" w:left="1134" w:header="340" w:footer="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F04BE" w14:textId="77777777" w:rsidR="00333BAC" w:rsidRDefault="00333BAC">
      <w:pPr>
        <w:spacing w:after="0" w:line="240" w:lineRule="auto"/>
      </w:pPr>
      <w:r>
        <w:separator/>
      </w:r>
    </w:p>
  </w:endnote>
  <w:endnote w:type="continuationSeparator" w:id="0">
    <w:p w14:paraId="2B734C0F" w14:textId="77777777" w:rsidR="00333BAC" w:rsidRDefault="00333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etaPro-Bold">
    <w:altName w:val="MetaPro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  <w:tblCaption w:val="Document Information"/>
      <w:tblDescription w:val="Document title, subtitle, and page numbers"/>
    </w:tblPr>
    <w:tblGrid>
      <w:gridCol w:w="7376"/>
      <w:gridCol w:w="1391"/>
      <w:gridCol w:w="871"/>
    </w:tblGrid>
    <w:tr w:rsidR="00134C74" w14:paraId="18A6178C" w14:textId="77777777" w:rsidTr="0085005D">
      <w:trPr>
        <w:trHeight w:val="70"/>
      </w:trPr>
      <w:tc>
        <w:tcPr>
          <w:tcW w:w="3831" w:type="pct"/>
          <w:tcBorders>
            <w:top w:val="single" w:sz="8" w:space="0" w:color="808080"/>
            <w:bottom w:val="single" w:sz="8" w:space="0" w:color="808080"/>
          </w:tcBorders>
          <w:shd w:val="clear" w:color="auto" w:fill="FFFFFF" w:themeFill="background1"/>
          <w:vAlign w:val="center"/>
        </w:tcPr>
        <w:p w14:paraId="61954EA3" w14:textId="77777777" w:rsidR="00134C74" w:rsidRPr="00634A78" w:rsidRDefault="00134C74" w:rsidP="00F90F7A">
          <w:pPr>
            <w:pStyle w:val="Footer"/>
          </w:pPr>
          <w:r>
            <w:rPr>
              <w:rStyle w:val="footerfieldtextChar"/>
            </w:rPr>
            <w:t xml:space="preserve">Torres Strait Finfish Scientific Technical Working Group </w:t>
          </w:r>
          <w:r>
            <w:t>10 November 2016</w:t>
          </w:r>
          <w:r w:rsidRPr="00ED2212">
            <w:t xml:space="preserve"> </w:t>
          </w:r>
          <w:r w:rsidRPr="00634A78">
            <w:tab/>
          </w:r>
        </w:p>
      </w:tc>
      <w:tc>
        <w:tcPr>
          <w:tcW w:w="713" w:type="pct"/>
          <w:tcBorders>
            <w:top w:val="single" w:sz="8" w:space="0" w:color="808080"/>
            <w:bottom w:val="single" w:sz="8" w:space="0" w:color="808080"/>
          </w:tcBorders>
          <w:shd w:val="clear" w:color="auto" w:fill="333333"/>
          <w:vAlign w:val="center"/>
        </w:tcPr>
        <w:p w14:paraId="37F6BAF0" w14:textId="77777777" w:rsidR="00134C74" w:rsidRPr="00634A78" w:rsidRDefault="00134C74" w:rsidP="00281712">
          <w:pPr>
            <w:pStyle w:val="Footer"/>
            <w:jc w:val="center"/>
            <w:rPr>
              <w:color w:val="FFFFFF" w:themeColor="background1"/>
            </w:rPr>
          </w:pPr>
          <w:r w:rsidRPr="00634A78">
            <w:rPr>
              <w:color w:val="FFFFFF" w:themeColor="background1"/>
              <w:sz w:val="24"/>
              <w:szCs w:val="24"/>
            </w:rPr>
            <w:t>afma.gov.au</w:t>
          </w:r>
        </w:p>
      </w:tc>
      <w:tc>
        <w:tcPr>
          <w:tcW w:w="456" w:type="pct"/>
          <w:tcBorders>
            <w:top w:val="single" w:sz="8" w:space="0" w:color="808080"/>
            <w:bottom w:val="single" w:sz="8" w:space="0" w:color="808080"/>
          </w:tcBorders>
          <w:vAlign w:val="center"/>
        </w:tcPr>
        <w:p w14:paraId="0F6E61AE" w14:textId="77777777" w:rsidR="00134C74" w:rsidRPr="00E90CC3" w:rsidRDefault="00134C74" w:rsidP="00281712">
          <w:pPr>
            <w:pStyle w:val="Footer"/>
            <w:jc w:val="center"/>
            <w:rPr>
              <w:color w:val="808080"/>
              <w:sz w:val="24"/>
              <w:szCs w:val="24"/>
            </w:rPr>
          </w:pPr>
          <w:r w:rsidRPr="00634A78">
            <w:rPr>
              <w:b/>
            </w:rPr>
            <w:fldChar w:fldCharType="begin"/>
          </w:r>
          <w:r w:rsidRPr="00634A78">
            <w:rPr>
              <w:b/>
            </w:rPr>
            <w:instrText xml:space="preserve"> PAGE  \* Arabic  \* MERGEFORMAT </w:instrText>
          </w:r>
          <w:r w:rsidRPr="00634A78">
            <w:rPr>
              <w:b/>
            </w:rPr>
            <w:fldChar w:fldCharType="separate"/>
          </w:r>
          <w:r w:rsidR="00420D82">
            <w:rPr>
              <w:b/>
              <w:noProof/>
            </w:rPr>
            <w:t>7</w:t>
          </w:r>
          <w:r w:rsidRPr="00634A78">
            <w:rPr>
              <w:b/>
            </w:rPr>
            <w:fldChar w:fldCharType="end"/>
          </w:r>
          <w:r w:rsidRPr="00634A78">
            <w:t xml:space="preserve"> of </w:t>
          </w:r>
          <w:r w:rsidRPr="00634A78">
            <w:rPr>
              <w:b/>
            </w:rPr>
            <w:fldChar w:fldCharType="begin"/>
          </w:r>
          <w:r w:rsidRPr="00634A78">
            <w:rPr>
              <w:b/>
            </w:rPr>
            <w:instrText xml:space="preserve"> NUMPAGES  \* Arabic  \* MERGEFORMAT </w:instrText>
          </w:r>
          <w:r w:rsidRPr="00634A78">
            <w:rPr>
              <w:b/>
            </w:rPr>
            <w:fldChar w:fldCharType="separate"/>
          </w:r>
          <w:r w:rsidR="00420D82">
            <w:rPr>
              <w:b/>
              <w:noProof/>
            </w:rPr>
            <w:t>7</w:t>
          </w:r>
          <w:r w:rsidRPr="00634A78">
            <w:rPr>
              <w:b/>
            </w:rPr>
            <w:fldChar w:fldCharType="end"/>
          </w:r>
        </w:p>
      </w:tc>
    </w:tr>
  </w:tbl>
  <w:p w14:paraId="36E20657" w14:textId="77777777" w:rsidR="00134C74" w:rsidRPr="00217825" w:rsidRDefault="00134C74" w:rsidP="002817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F16E0" w14:textId="77777777" w:rsidR="00333BAC" w:rsidRDefault="00333BAC">
      <w:pPr>
        <w:spacing w:after="0" w:line="240" w:lineRule="auto"/>
      </w:pPr>
      <w:r>
        <w:separator/>
      </w:r>
    </w:p>
  </w:footnote>
  <w:footnote w:type="continuationSeparator" w:id="0">
    <w:p w14:paraId="4B74D042" w14:textId="77777777" w:rsidR="00333BAC" w:rsidRDefault="00333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FF4DD" w14:textId="4F5F4190" w:rsidR="00134C74" w:rsidRDefault="00134C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68013" w14:textId="146313C5" w:rsidR="00134C74" w:rsidRDefault="00134C74" w:rsidP="00281712">
    <w:pPr>
      <w:pStyle w:val="Header"/>
      <w:ind w:left="-1985" w:firstLine="1985"/>
    </w:pPr>
    <w:r w:rsidRPr="00DD76F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1E97689" wp14:editId="04754B9A">
              <wp:simplePos x="0" y="0"/>
              <wp:positionH relativeFrom="page">
                <wp:posOffset>676894</wp:posOffset>
              </wp:positionH>
              <wp:positionV relativeFrom="page">
                <wp:posOffset>1520042</wp:posOffset>
              </wp:positionV>
              <wp:extent cx="3959860" cy="3733156"/>
              <wp:effectExtent l="0" t="0" r="2540" b="1270"/>
              <wp:wrapNone/>
              <wp:docPr id="12" name="Rectangle 12" descr="Graphic Rectangle" title="Graphic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59860" cy="3733156"/>
                      </a:xfrm>
                      <a:prstGeom prst="rect">
                        <a:avLst/>
                      </a:prstGeom>
                      <a:solidFill>
                        <a:schemeClr val="tx1">
                          <a:alpha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C3AD97" id="Rectangle 12" o:spid="_x0000_s1026" alt="Title: Graphic Rectangle - Description: Graphic Rectangle" style="position:absolute;margin-left:53.3pt;margin-top:119.7pt;width:311.8pt;height:293.9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" fillcolor="black [3213]" stroked="f" strokeweight="2pt">
              <v:fill opacity="55769f"/>
              <w10:wrap anchorx="page" anchory="page"/>
            </v:rect>
          </w:pict>
        </mc:Fallback>
      </mc:AlternateContent>
    </w:r>
    <w:r w:rsidRPr="000E0AE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2E200A7" wp14:editId="533FD8DD">
              <wp:simplePos x="0" y="0"/>
              <wp:positionH relativeFrom="page">
                <wp:posOffset>681990</wp:posOffset>
              </wp:positionH>
              <wp:positionV relativeFrom="page">
                <wp:posOffset>5251823</wp:posOffset>
              </wp:positionV>
              <wp:extent cx="3959860" cy="1295400"/>
              <wp:effectExtent l="0" t="0" r="2540" b="0"/>
              <wp:wrapNone/>
              <wp:docPr id="6" name="Rectangle 6" descr="Graphic Rectangle" title="Graphic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59860" cy="1295400"/>
                      </a:xfrm>
                      <a:prstGeom prst="rect">
                        <a:avLst/>
                      </a:prstGeom>
                      <a:solidFill>
                        <a:srgbClr val="006C8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9D9137" id="Rectangle 6" o:spid="_x0000_s1026" alt="Title: Graphic Rectangle - Description: Graphic Rectangle" style="position:absolute;margin-left:53.7pt;margin-top:413.55pt;width:311.8pt;height:10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" fillcolor="#006c8b" stroked="f" strokeweight="2pt">
              <w10:wrap anchorx="page" anchory="page"/>
            </v:rect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36F7A17" wp14:editId="76AB9C18">
              <wp:simplePos x="0" y="0"/>
              <wp:positionH relativeFrom="page">
                <wp:posOffset>7021195</wp:posOffset>
              </wp:positionH>
              <wp:positionV relativeFrom="page">
                <wp:posOffset>1962150</wp:posOffset>
              </wp:positionV>
              <wp:extent cx="324000" cy="6731640"/>
              <wp:effectExtent l="0" t="0" r="0" b="12065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4000" cy="6731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5CFD7" w14:textId="77777777" w:rsidR="00134C74" w:rsidRPr="00932135" w:rsidRDefault="00134C74" w:rsidP="00281712">
                          <w:pPr>
                            <w:pStyle w:val="SideBarText"/>
                          </w:pPr>
                          <w:r w:rsidRPr="00932135">
                            <w:t xml:space="preserve">Box 7051, Canberra Business Centre, ACT 2610 / Ph. (02) 6225 5555 / Fax (02) 6225 5500 / AFMA Direct 1300 723 621 </w:t>
                          </w:r>
                          <w:r>
                            <w:t xml:space="preserve">  </w:t>
                          </w:r>
                          <w:hyperlink r:id="rId1" w:history="1">
                            <w:r w:rsidRPr="00932135">
                              <w:rPr>
                                <w:rStyle w:val="Hyperlink"/>
                                <w:rFonts w:cstheme="minorBidi"/>
                                <w:b/>
                              </w:rPr>
                              <w:t>afma.gov.au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6F7A17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552.85pt;margin-top:154.5pt;width:25.5pt;height:530.0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" filled="f" stroked="f" strokeweight=".5pt">
              <v:textbox style="layout-flow:vertical;mso-layout-flow-alt:bottom-to-top" inset="0,0,0,0">
                <w:txbxContent>
                  <w:p w14:paraId="36D5CFD7" w14:textId="77777777" w:rsidR="00134C74" w:rsidRPr="00932135" w:rsidRDefault="00134C74" w:rsidP="00281712">
                    <w:pPr>
                      <w:pStyle w:val="SideBarText"/>
                    </w:pPr>
                    <w:r w:rsidRPr="00932135">
                      <w:t xml:space="preserve">Box 7051, Canberra Business Centre, ACT 2610 / Ph. (02) 6225 5555 / Fax (02) 6225 5500 / AFMA Direct 1300 723 621 </w:t>
                    </w:r>
                    <w:r>
                      <w:t xml:space="preserve">  </w:t>
                    </w:r>
                    <w:hyperlink r:id="rId2" w:history="1">
                      <w:r w:rsidRPr="00932135">
                        <w:rPr>
                          <w:rStyle w:val="Hyperlink"/>
                          <w:rFonts w:cstheme="minorBidi"/>
                          <w:b/>
                        </w:rPr>
                        <w:t>afma.gov.au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AF00A" w14:textId="1FB3CA29" w:rsidR="00134C74" w:rsidRDefault="00134C7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3F09D" w14:textId="158EAAED" w:rsidR="00134C74" w:rsidRDefault="00134C74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FDF89" w14:textId="1D3FF2AF" w:rsidR="00134C74" w:rsidRDefault="00134C74">
    <w:pPr>
      <w:pStyle w:val="Header"/>
    </w:pPr>
  </w:p>
  <w:p w14:paraId="004F625D" w14:textId="77777777" w:rsidR="00134C74" w:rsidRDefault="00134C74" w:rsidP="00281712">
    <w:pPr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BD3C6" w14:textId="37FA39F8" w:rsidR="00134C74" w:rsidRDefault="00134C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4E3CF3"/>
    <w:multiLevelType w:val="hybridMultilevel"/>
    <w:tmpl w:val="EDCE88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B112F"/>
    <w:multiLevelType w:val="hybridMultilevel"/>
    <w:tmpl w:val="EAFE97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B018A"/>
    <w:multiLevelType w:val="multilevel"/>
    <w:tmpl w:val="D9D8D3DE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-Numbered"/>
      <w:lvlText w:val="%1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-Numbered"/>
      <w:lvlText w:val="%1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-Numbered"/>
      <w:lvlText w:val="%1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-Numbered"/>
      <w:lvlText w:val="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-Numbered"/>
      <w:lvlText w:val="%1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-Numbered"/>
      <w:lvlText w:val="%1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-Numbered"/>
      <w:lvlText w:val="%1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-Numbered"/>
      <w:lvlText w:val="%1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22D6AC5"/>
    <w:multiLevelType w:val="hybridMultilevel"/>
    <w:tmpl w:val="1EF272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6509A"/>
    <w:multiLevelType w:val="hybridMultilevel"/>
    <w:tmpl w:val="D02A7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61F13"/>
    <w:multiLevelType w:val="hybridMultilevel"/>
    <w:tmpl w:val="8B7A370C"/>
    <w:lvl w:ilvl="0" w:tplc="5254EDDA">
      <w:start w:val="1"/>
      <w:numFmt w:val="decimal"/>
      <w:lvlText w:val="%1."/>
      <w:lvlJc w:val="left"/>
      <w:pPr>
        <w:ind w:left="360" w:hanging="360"/>
      </w:pPr>
      <w:rPr>
        <w:rFonts w:eastAsia="Times New Roman" w:cs="Arial" w:hint="default"/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397D60"/>
    <w:multiLevelType w:val="multilevel"/>
    <w:tmpl w:val="AF1C47E0"/>
    <w:lvl w:ilvl="0">
      <w:start w:val="1"/>
      <w:numFmt w:val="decimal"/>
      <w:pStyle w:val="AFMANumberedlis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543CDD"/>
    <w:multiLevelType w:val="hybridMultilevel"/>
    <w:tmpl w:val="59E050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E4FAE"/>
    <w:multiLevelType w:val="hybridMultilevel"/>
    <w:tmpl w:val="010EB9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86618"/>
    <w:multiLevelType w:val="hybridMultilevel"/>
    <w:tmpl w:val="C2DE3F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E371D"/>
    <w:multiLevelType w:val="hybridMultilevel"/>
    <w:tmpl w:val="206058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E2C5C"/>
    <w:multiLevelType w:val="hybridMultilevel"/>
    <w:tmpl w:val="08FADE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97A14"/>
    <w:multiLevelType w:val="hybridMultilevel"/>
    <w:tmpl w:val="3584823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97E68FC"/>
    <w:multiLevelType w:val="hybridMultilevel"/>
    <w:tmpl w:val="A544B5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C4E52"/>
    <w:multiLevelType w:val="hybridMultilevel"/>
    <w:tmpl w:val="C4B62A78"/>
    <w:lvl w:ilvl="0" w:tplc="DD6AE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F3E60"/>
    <w:multiLevelType w:val="hybridMultilevel"/>
    <w:tmpl w:val="887442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83F9D"/>
    <w:multiLevelType w:val="hybridMultilevel"/>
    <w:tmpl w:val="6C0A4B72"/>
    <w:lvl w:ilvl="0" w:tplc="D4A08D24">
      <w:start w:val="2017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3FC65779"/>
    <w:multiLevelType w:val="hybridMultilevel"/>
    <w:tmpl w:val="E6DE77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885F37"/>
    <w:multiLevelType w:val="hybridMultilevel"/>
    <w:tmpl w:val="C4B62A78"/>
    <w:lvl w:ilvl="0" w:tplc="DD6AE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22C2D"/>
    <w:multiLevelType w:val="hybridMultilevel"/>
    <w:tmpl w:val="E04A2D5E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560A122F"/>
    <w:multiLevelType w:val="hybridMultilevel"/>
    <w:tmpl w:val="9E8628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73D7D"/>
    <w:multiLevelType w:val="hybridMultilevel"/>
    <w:tmpl w:val="C4161D1A"/>
    <w:lvl w:ilvl="0" w:tplc="522E3D44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502AB4"/>
    <w:multiLevelType w:val="hybridMultilevel"/>
    <w:tmpl w:val="B46033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81BCA"/>
    <w:multiLevelType w:val="hybridMultilevel"/>
    <w:tmpl w:val="7630A116"/>
    <w:lvl w:ilvl="0" w:tplc="54D86CA0">
      <w:start w:val="1"/>
      <w:numFmt w:val="bullet"/>
      <w:pStyle w:val="Lis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257974"/>
    <w:multiLevelType w:val="hybridMultilevel"/>
    <w:tmpl w:val="54302B94"/>
    <w:lvl w:ilvl="0" w:tplc="4EB04F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6DAEED8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1F600168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635052"/>
    <w:multiLevelType w:val="hybridMultilevel"/>
    <w:tmpl w:val="6164D6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C12F39"/>
    <w:multiLevelType w:val="hybridMultilevel"/>
    <w:tmpl w:val="D806005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B6707"/>
    <w:multiLevelType w:val="hybridMultilevel"/>
    <w:tmpl w:val="98F68A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907CE5"/>
    <w:multiLevelType w:val="hybridMultilevel"/>
    <w:tmpl w:val="C4B62A78"/>
    <w:lvl w:ilvl="0" w:tplc="DD6AE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40854"/>
    <w:multiLevelType w:val="hybridMultilevel"/>
    <w:tmpl w:val="716A91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277E91"/>
    <w:multiLevelType w:val="multilevel"/>
    <w:tmpl w:val="C14C36A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24"/>
  </w:num>
  <w:num w:numId="4">
    <w:abstractNumId w:val="29"/>
  </w:num>
  <w:num w:numId="5">
    <w:abstractNumId w:val="11"/>
  </w:num>
  <w:num w:numId="6">
    <w:abstractNumId w:val="22"/>
  </w:num>
  <w:num w:numId="7">
    <w:abstractNumId w:val="17"/>
  </w:num>
  <w:num w:numId="8">
    <w:abstractNumId w:val="27"/>
  </w:num>
  <w:num w:numId="9">
    <w:abstractNumId w:val="1"/>
  </w:num>
  <w:num w:numId="10">
    <w:abstractNumId w:val="15"/>
  </w:num>
  <w:num w:numId="11">
    <w:abstractNumId w:val="28"/>
  </w:num>
  <w:num w:numId="12">
    <w:abstractNumId w:val="4"/>
  </w:num>
  <w:num w:numId="13">
    <w:abstractNumId w:val="0"/>
  </w:num>
  <w:num w:numId="14">
    <w:abstractNumId w:val="5"/>
  </w:num>
  <w:num w:numId="15">
    <w:abstractNumId w:val="2"/>
  </w:num>
  <w:num w:numId="16">
    <w:abstractNumId w:val="18"/>
  </w:num>
  <w:num w:numId="17">
    <w:abstractNumId w:val="13"/>
  </w:num>
  <w:num w:numId="18">
    <w:abstractNumId w:val="23"/>
  </w:num>
  <w:num w:numId="19">
    <w:abstractNumId w:val="19"/>
  </w:num>
  <w:num w:numId="20">
    <w:abstractNumId w:val="25"/>
  </w:num>
  <w:num w:numId="21">
    <w:abstractNumId w:val="6"/>
  </w:num>
  <w:num w:numId="22">
    <w:abstractNumId w:val="31"/>
  </w:num>
  <w:num w:numId="23">
    <w:abstractNumId w:val="20"/>
  </w:num>
  <w:num w:numId="24">
    <w:abstractNumId w:val="12"/>
  </w:num>
  <w:num w:numId="25">
    <w:abstractNumId w:val="21"/>
  </w:num>
  <w:num w:numId="26">
    <w:abstractNumId w:val="14"/>
  </w:num>
  <w:num w:numId="27">
    <w:abstractNumId w:val="10"/>
  </w:num>
  <w:num w:numId="28">
    <w:abstractNumId w:val="8"/>
  </w:num>
  <w:num w:numId="29">
    <w:abstractNumId w:val="26"/>
  </w:num>
  <w:num w:numId="30">
    <w:abstractNumId w:val="30"/>
  </w:num>
  <w:num w:numId="31">
    <w:abstractNumId w:val="9"/>
  </w:num>
  <w:num w:numId="32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56"/>
    <w:rsid w:val="000008C7"/>
    <w:rsid w:val="00001FC0"/>
    <w:rsid w:val="00002AA4"/>
    <w:rsid w:val="00014750"/>
    <w:rsid w:val="00021FBA"/>
    <w:rsid w:val="00023938"/>
    <w:rsid w:val="0002395F"/>
    <w:rsid w:val="00024402"/>
    <w:rsid w:val="00030068"/>
    <w:rsid w:val="0003044A"/>
    <w:rsid w:val="000324D1"/>
    <w:rsid w:val="00033A96"/>
    <w:rsid w:val="00034BD7"/>
    <w:rsid w:val="00037771"/>
    <w:rsid w:val="00037C30"/>
    <w:rsid w:val="00040EF7"/>
    <w:rsid w:val="00041436"/>
    <w:rsid w:val="00041CE8"/>
    <w:rsid w:val="000425FA"/>
    <w:rsid w:val="000428BF"/>
    <w:rsid w:val="0004292F"/>
    <w:rsid w:val="000432ED"/>
    <w:rsid w:val="00044280"/>
    <w:rsid w:val="00045B86"/>
    <w:rsid w:val="0005049F"/>
    <w:rsid w:val="000504BD"/>
    <w:rsid w:val="0005224E"/>
    <w:rsid w:val="000522DC"/>
    <w:rsid w:val="000551BA"/>
    <w:rsid w:val="0005713E"/>
    <w:rsid w:val="00063747"/>
    <w:rsid w:val="000661B3"/>
    <w:rsid w:val="00072566"/>
    <w:rsid w:val="0007286F"/>
    <w:rsid w:val="000732BD"/>
    <w:rsid w:val="0007383F"/>
    <w:rsid w:val="00074535"/>
    <w:rsid w:val="00075528"/>
    <w:rsid w:val="00076233"/>
    <w:rsid w:val="00077C64"/>
    <w:rsid w:val="00085D62"/>
    <w:rsid w:val="00085E1F"/>
    <w:rsid w:val="00090809"/>
    <w:rsid w:val="00091E51"/>
    <w:rsid w:val="00092168"/>
    <w:rsid w:val="0009285B"/>
    <w:rsid w:val="0009296B"/>
    <w:rsid w:val="00093E26"/>
    <w:rsid w:val="00093FCB"/>
    <w:rsid w:val="00094EEB"/>
    <w:rsid w:val="000954BA"/>
    <w:rsid w:val="000974E2"/>
    <w:rsid w:val="000A1F49"/>
    <w:rsid w:val="000A5301"/>
    <w:rsid w:val="000A5656"/>
    <w:rsid w:val="000A63BE"/>
    <w:rsid w:val="000B5CFD"/>
    <w:rsid w:val="000B5EF7"/>
    <w:rsid w:val="000C088C"/>
    <w:rsid w:val="000C0A19"/>
    <w:rsid w:val="000C109F"/>
    <w:rsid w:val="000C27FB"/>
    <w:rsid w:val="000C38AA"/>
    <w:rsid w:val="000C3C2E"/>
    <w:rsid w:val="000C3C31"/>
    <w:rsid w:val="000C6C38"/>
    <w:rsid w:val="000D18B0"/>
    <w:rsid w:val="000D360F"/>
    <w:rsid w:val="000D5579"/>
    <w:rsid w:val="000E315E"/>
    <w:rsid w:val="000E64ED"/>
    <w:rsid w:val="000E737E"/>
    <w:rsid w:val="000F057E"/>
    <w:rsid w:val="000F4593"/>
    <w:rsid w:val="000F5828"/>
    <w:rsid w:val="00101329"/>
    <w:rsid w:val="0010351C"/>
    <w:rsid w:val="00105C96"/>
    <w:rsid w:val="0010795D"/>
    <w:rsid w:val="00111324"/>
    <w:rsid w:val="00112267"/>
    <w:rsid w:val="0012079A"/>
    <w:rsid w:val="001240A9"/>
    <w:rsid w:val="001254AC"/>
    <w:rsid w:val="001273DA"/>
    <w:rsid w:val="00127497"/>
    <w:rsid w:val="00130DC1"/>
    <w:rsid w:val="00131CD1"/>
    <w:rsid w:val="00132808"/>
    <w:rsid w:val="00133C2F"/>
    <w:rsid w:val="00134C74"/>
    <w:rsid w:val="00135A7D"/>
    <w:rsid w:val="00135EB8"/>
    <w:rsid w:val="00137523"/>
    <w:rsid w:val="00137A7F"/>
    <w:rsid w:val="00142E43"/>
    <w:rsid w:val="00146E88"/>
    <w:rsid w:val="00151DF4"/>
    <w:rsid w:val="00156389"/>
    <w:rsid w:val="00157912"/>
    <w:rsid w:val="001600EE"/>
    <w:rsid w:val="0016089D"/>
    <w:rsid w:val="00161968"/>
    <w:rsid w:val="0016274C"/>
    <w:rsid w:val="0016312A"/>
    <w:rsid w:val="0016525E"/>
    <w:rsid w:val="001661FD"/>
    <w:rsid w:val="001671CC"/>
    <w:rsid w:val="0017018F"/>
    <w:rsid w:val="00172AE6"/>
    <w:rsid w:val="00172CB5"/>
    <w:rsid w:val="00173826"/>
    <w:rsid w:val="0017452B"/>
    <w:rsid w:val="00180206"/>
    <w:rsid w:val="00182121"/>
    <w:rsid w:val="00191F78"/>
    <w:rsid w:val="001A30C3"/>
    <w:rsid w:val="001B067F"/>
    <w:rsid w:val="001B2FAD"/>
    <w:rsid w:val="001B3087"/>
    <w:rsid w:val="001B384A"/>
    <w:rsid w:val="001B630A"/>
    <w:rsid w:val="001C21C8"/>
    <w:rsid w:val="001C616F"/>
    <w:rsid w:val="001D381C"/>
    <w:rsid w:val="001E2434"/>
    <w:rsid w:val="001E4265"/>
    <w:rsid w:val="001E4C02"/>
    <w:rsid w:val="001F1A48"/>
    <w:rsid w:val="001F1ACD"/>
    <w:rsid w:val="001F1CFF"/>
    <w:rsid w:val="001F29C4"/>
    <w:rsid w:val="001F453A"/>
    <w:rsid w:val="001F4DFD"/>
    <w:rsid w:val="002052F2"/>
    <w:rsid w:val="00205805"/>
    <w:rsid w:val="00206B5E"/>
    <w:rsid w:val="0021053C"/>
    <w:rsid w:val="00211979"/>
    <w:rsid w:val="00212124"/>
    <w:rsid w:val="002129CF"/>
    <w:rsid w:val="00220D9E"/>
    <w:rsid w:val="0022276C"/>
    <w:rsid w:val="00226291"/>
    <w:rsid w:val="00227DAB"/>
    <w:rsid w:val="002316EB"/>
    <w:rsid w:val="00242E74"/>
    <w:rsid w:val="0024533A"/>
    <w:rsid w:val="00245E73"/>
    <w:rsid w:val="002502C5"/>
    <w:rsid w:val="002509DF"/>
    <w:rsid w:val="00250F1B"/>
    <w:rsid w:val="00251C65"/>
    <w:rsid w:val="00252B52"/>
    <w:rsid w:val="00254549"/>
    <w:rsid w:val="00255015"/>
    <w:rsid w:val="00255736"/>
    <w:rsid w:val="002625A8"/>
    <w:rsid w:val="00263C9E"/>
    <w:rsid w:val="0026444F"/>
    <w:rsid w:val="00264DAF"/>
    <w:rsid w:val="00266C90"/>
    <w:rsid w:val="002674F2"/>
    <w:rsid w:val="002703D8"/>
    <w:rsid w:val="00272C0D"/>
    <w:rsid w:val="0027377B"/>
    <w:rsid w:val="00281712"/>
    <w:rsid w:val="0028182D"/>
    <w:rsid w:val="00283A24"/>
    <w:rsid w:val="00285853"/>
    <w:rsid w:val="00287EFD"/>
    <w:rsid w:val="00295909"/>
    <w:rsid w:val="002977FC"/>
    <w:rsid w:val="002A36E9"/>
    <w:rsid w:val="002A5F44"/>
    <w:rsid w:val="002B1698"/>
    <w:rsid w:val="002B2655"/>
    <w:rsid w:val="002B2842"/>
    <w:rsid w:val="002B64B6"/>
    <w:rsid w:val="002C450E"/>
    <w:rsid w:val="002D13F7"/>
    <w:rsid w:val="002D1560"/>
    <w:rsid w:val="002D4112"/>
    <w:rsid w:val="002E0118"/>
    <w:rsid w:val="002E3136"/>
    <w:rsid w:val="002E43BC"/>
    <w:rsid w:val="002E4E12"/>
    <w:rsid w:val="002E756E"/>
    <w:rsid w:val="002F0F67"/>
    <w:rsid w:val="002F1452"/>
    <w:rsid w:val="002F163C"/>
    <w:rsid w:val="002F2566"/>
    <w:rsid w:val="002F50BE"/>
    <w:rsid w:val="00300381"/>
    <w:rsid w:val="00300A46"/>
    <w:rsid w:val="00301500"/>
    <w:rsid w:val="0030219D"/>
    <w:rsid w:val="00302474"/>
    <w:rsid w:val="003058BC"/>
    <w:rsid w:val="00305B10"/>
    <w:rsid w:val="00306953"/>
    <w:rsid w:val="00307916"/>
    <w:rsid w:val="00312843"/>
    <w:rsid w:val="00322DA8"/>
    <w:rsid w:val="00325489"/>
    <w:rsid w:val="00325EDC"/>
    <w:rsid w:val="00327B70"/>
    <w:rsid w:val="0033055D"/>
    <w:rsid w:val="00331BCA"/>
    <w:rsid w:val="00333BAC"/>
    <w:rsid w:val="00335F95"/>
    <w:rsid w:val="0034239B"/>
    <w:rsid w:val="003441D6"/>
    <w:rsid w:val="003441E0"/>
    <w:rsid w:val="00344D94"/>
    <w:rsid w:val="0034668F"/>
    <w:rsid w:val="0034750E"/>
    <w:rsid w:val="00347824"/>
    <w:rsid w:val="00347EB1"/>
    <w:rsid w:val="0035242C"/>
    <w:rsid w:val="003537B1"/>
    <w:rsid w:val="00353BBE"/>
    <w:rsid w:val="00361AB5"/>
    <w:rsid w:val="00371018"/>
    <w:rsid w:val="00372E43"/>
    <w:rsid w:val="00375105"/>
    <w:rsid w:val="00376607"/>
    <w:rsid w:val="003815CE"/>
    <w:rsid w:val="00381B8E"/>
    <w:rsid w:val="00384048"/>
    <w:rsid w:val="0038558D"/>
    <w:rsid w:val="00386BBB"/>
    <w:rsid w:val="0039287C"/>
    <w:rsid w:val="00393296"/>
    <w:rsid w:val="003935F3"/>
    <w:rsid w:val="00394BBC"/>
    <w:rsid w:val="00397921"/>
    <w:rsid w:val="003A3BEA"/>
    <w:rsid w:val="003A68DE"/>
    <w:rsid w:val="003A7365"/>
    <w:rsid w:val="003A757C"/>
    <w:rsid w:val="003B0331"/>
    <w:rsid w:val="003B0B73"/>
    <w:rsid w:val="003B26A1"/>
    <w:rsid w:val="003B3366"/>
    <w:rsid w:val="003B39FE"/>
    <w:rsid w:val="003C25A2"/>
    <w:rsid w:val="003C2D79"/>
    <w:rsid w:val="003C41FA"/>
    <w:rsid w:val="003C4C67"/>
    <w:rsid w:val="003C67FC"/>
    <w:rsid w:val="003D2459"/>
    <w:rsid w:val="003D3328"/>
    <w:rsid w:val="003D3E1E"/>
    <w:rsid w:val="003E21CD"/>
    <w:rsid w:val="003E38B6"/>
    <w:rsid w:val="003E5CDC"/>
    <w:rsid w:val="003F142C"/>
    <w:rsid w:val="003F382E"/>
    <w:rsid w:val="003F4C2E"/>
    <w:rsid w:val="003F61E8"/>
    <w:rsid w:val="004009E3"/>
    <w:rsid w:val="00401C28"/>
    <w:rsid w:val="00404EF2"/>
    <w:rsid w:val="004129ED"/>
    <w:rsid w:val="00413228"/>
    <w:rsid w:val="00413EAE"/>
    <w:rsid w:val="00420D82"/>
    <w:rsid w:val="00420F9E"/>
    <w:rsid w:val="004236D4"/>
    <w:rsid w:val="00426ACA"/>
    <w:rsid w:val="00426BFC"/>
    <w:rsid w:val="00427E39"/>
    <w:rsid w:val="0043793E"/>
    <w:rsid w:val="004426E6"/>
    <w:rsid w:val="004437F2"/>
    <w:rsid w:val="0045237F"/>
    <w:rsid w:val="00454DED"/>
    <w:rsid w:val="004561CC"/>
    <w:rsid w:val="00457B75"/>
    <w:rsid w:val="00462A01"/>
    <w:rsid w:val="00462F9E"/>
    <w:rsid w:val="00466612"/>
    <w:rsid w:val="00470E13"/>
    <w:rsid w:val="0047563F"/>
    <w:rsid w:val="00475921"/>
    <w:rsid w:val="00482F81"/>
    <w:rsid w:val="00486A45"/>
    <w:rsid w:val="00491255"/>
    <w:rsid w:val="00491830"/>
    <w:rsid w:val="00492D88"/>
    <w:rsid w:val="004A0F86"/>
    <w:rsid w:val="004A19A8"/>
    <w:rsid w:val="004A1F28"/>
    <w:rsid w:val="004A31EB"/>
    <w:rsid w:val="004A44B7"/>
    <w:rsid w:val="004A5F50"/>
    <w:rsid w:val="004B18DE"/>
    <w:rsid w:val="004B3233"/>
    <w:rsid w:val="004B7DDE"/>
    <w:rsid w:val="004C1F71"/>
    <w:rsid w:val="004C2D27"/>
    <w:rsid w:val="004C44BA"/>
    <w:rsid w:val="004C48DD"/>
    <w:rsid w:val="004C53B6"/>
    <w:rsid w:val="004C57F1"/>
    <w:rsid w:val="004D2A03"/>
    <w:rsid w:val="004D5263"/>
    <w:rsid w:val="004D54C9"/>
    <w:rsid w:val="004D5979"/>
    <w:rsid w:val="004D6846"/>
    <w:rsid w:val="004D68B2"/>
    <w:rsid w:val="004D7574"/>
    <w:rsid w:val="004E2F2D"/>
    <w:rsid w:val="004E38B8"/>
    <w:rsid w:val="004E4D08"/>
    <w:rsid w:val="004E5AD9"/>
    <w:rsid w:val="004E782F"/>
    <w:rsid w:val="004F4466"/>
    <w:rsid w:val="004F4FC4"/>
    <w:rsid w:val="004F506B"/>
    <w:rsid w:val="004F5FB9"/>
    <w:rsid w:val="004F627E"/>
    <w:rsid w:val="00501A35"/>
    <w:rsid w:val="00502C80"/>
    <w:rsid w:val="00504C18"/>
    <w:rsid w:val="00504F48"/>
    <w:rsid w:val="00505F4B"/>
    <w:rsid w:val="005062D7"/>
    <w:rsid w:val="005078E1"/>
    <w:rsid w:val="005111AC"/>
    <w:rsid w:val="00513F3E"/>
    <w:rsid w:val="00514D96"/>
    <w:rsid w:val="005152D7"/>
    <w:rsid w:val="005237A7"/>
    <w:rsid w:val="005253F5"/>
    <w:rsid w:val="0053443C"/>
    <w:rsid w:val="005378EC"/>
    <w:rsid w:val="00542C5D"/>
    <w:rsid w:val="00543A96"/>
    <w:rsid w:val="00544027"/>
    <w:rsid w:val="00544100"/>
    <w:rsid w:val="00545179"/>
    <w:rsid w:val="00550C9D"/>
    <w:rsid w:val="005562C6"/>
    <w:rsid w:val="005565D7"/>
    <w:rsid w:val="0056261F"/>
    <w:rsid w:val="00564132"/>
    <w:rsid w:val="0056421C"/>
    <w:rsid w:val="005677EF"/>
    <w:rsid w:val="00567B76"/>
    <w:rsid w:val="00573D11"/>
    <w:rsid w:val="00582CA1"/>
    <w:rsid w:val="00590319"/>
    <w:rsid w:val="005918D8"/>
    <w:rsid w:val="00591AA5"/>
    <w:rsid w:val="00593354"/>
    <w:rsid w:val="0059496E"/>
    <w:rsid w:val="005958EB"/>
    <w:rsid w:val="005964EE"/>
    <w:rsid w:val="005971E3"/>
    <w:rsid w:val="005976CD"/>
    <w:rsid w:val="005A2C40"/>
    <w:rsid w:val="005A2CA8"/>
    <w:rsid w:val="005A44D1"/>
    <w:rsid w:val="005A4B17"/>
    <w:rsid w:val="005A57DF"/>
    <w:rsid w:val="005A6A7B"/>
    <w:rsid w:val="005A7E45"/>
    <w:rsid w:val="005B010C"/>
    <w:rsid w:val="005B0A79"/>
    <w:rsid w:val="005B1CB2"/>
    <w:rsid w:val="005B245F"/>
    <w:rsid w:val="005B33D8"/>
    <w:rsid w:val="005B51FC"/>
    <w:rsid w:val="005B596D"/>
    <w:rsid w:val="005B5CAB"/>
    <w:rsid w:val="005B5D4F"/>
    <w:rsid w:val="005B7837"/>
    <w:rsid w:val="005C02DD"/>
    <w:rsid w:val="005C0BA3"/>
    <w:rsid w:val="005C0DAD"/>
    <w:rsid w:val="005C1F14"/>
    <w:rsid w:val="005C2712"/>
    <w:rsid w:val="005C3F59"/>
    <w:rsid w:val="005D0481"/>
    <w:rsid w:val="005D2ACC"/>
    <w:rsid w:val="005D3105"/>
    <w:rsid w:val="005D339B"/>
    <w:rsid w:val="005D3A75"/>
    <w:rsid w:val="005D51F2"/>
    <w:rsid w:val="005E427B"/>
    <w:rsid w:val="005F1A22"/>
    <w:rsid w:val="005F49CC"/>
    <w:rsid w:val="005F602E"/>
    <w:rsid w:val="005F630B"/>
    <w:rsid w:val="005F7466"/>
    <w:rsid w:val="00604D1B"/>
    <w:rsid w:val="006054D4"/>
    <w:rsid w:val="006055DC"/>
    <w:rsid w:val="00605776"/>
    <w:rsid w:val="006102F5"/>
    <w:rsid w:val="0061037E"/>
    <w:rsid w:val="00613EF7"/>
    <w:rsid w:val="00614045"/>
    <w:rsid w:val="00614B1C"/>
    <w:rsid w:val="006157CE"/>
    <w:rsid w:val="00616863"/>
    <w:rsid w:val="00621B22"/>
    <w:rsid w:val="0062246A"/>
    <w:rsid w:val="00625AEA"/>
    <w:rsid w:val="0062682C"/>
    <w:rsid w:val="00632997"/>
    <w:rsid w:val="00634690"/>
    <w:rsid w:val="006346AD"/>
    <w:rsid w:val="00634B8A"/>
    <w:rsid w:val="006372E6"/>
    <w:rsid w:val="00641DEA"/>
    <w:rsid w:val="00642881"/>
    <w:rsid w:val="00642A92"/>
    <w:rsid w:val="006430D4"/>
    <w:rsid w:val="0064381F"/>
    <w:rsid w:val="00646F87"/>
    <w:rsid w:val="00646F9F"/>
    <w:rsid w:val="006477B4"/>
    <w:rsid w:val="0065001C"/>
    <w:rsid w:val="006528A3"/>
    <w:rsid w:val="00653E5F"/>
    <w:rsid w:val="0065409B"/>
    <w:rsid w:val="00654662"/>
    <w:rsid w:val="0065573C"/>
    <w:rsid w:val="00657538"/>
    <w:rsid w:val="00662452"/>
    <w:rsid w:val="0067395A"/>
    <w:rsid w:val="00676C65"/>
    <w:rsid w:val="00677439"/>
    <w:rsid w:val="00677E61"/>
    <w:rsid w:val="0068082C"/>
    <w:rsid w:val="00680BE6"/>
    <w:rsid w:val="00680FAE"/>
    <w:rsid w:val="006817BC"/>
    <w:rsid w:val="00682848"/>
    <w:rsid w:val="00683B2D"/>
    <w:rsid w:val="006844CD"/>
    <w:rsid w:val="006849B3"/>
    <w:rsid w:val="0068787D"/>
    <w:rsid w:val="00690A6A"/>
    <w:rsid w:val="00691EBC"/>
    <w:rsid w:val="00694106"/>
    <w:rsid w:val="00694465"/>
    <w:rsid w:val="0069655A"/>
    <w:rsid w:val="006974C6"/>
    <w:rsid w:val="006A2013"/>
    <w:rsid w:val="006A27AE"/>
    <w:rsid w:val="006A5D56"/>
    <w:rsid w:val="006B07F9"/>
    <w:rsid w:val="006B4DC8"/>
    <w:rsid w:val="006B6295"/>
    <w:rsid w:val="006B66AB"/>
    <w:rsid w:val="006B7357"/>
    <w:rsid w:val="006C0C50"/>
    <w:rsid w:val="006C1E00"/>
    <w:rsid w:val="006C4233"/>
    <w:rsid w:val="006C4868"/>
    <w:rsid w:val="006D2613"/>
    <w:rsid w:val="006D648F"/>
    <w:rsid w:val="006D6A0E"/>
    <w:rsid w:val="006E02B2"/>
    <w:rsid w:val="006E0AD3"/>
    <w:rsid w:val="006E26BF"/>
    <w:rsid w:val="006E30FF"/>
    <w:rsid w:val="006E321E"/>
    <w:rsid w:val="006E3E48"/>
    <w:rsid w:val="006E6100"/>
    <w:rsid w:val="006E7026"/>
    <w:rsid w:val="006F000D"/>
    <w:rsid w:val="006F13F7"/>
    <w:rsid w:val="006F14BE"/>
    <w:rsid w:val="006F16AD"/>
    <w:rsid w:val="006F5409"/>
    <w:rsid w:val="006F6381"/>
    <w:rsid w:val="007071A3"/>
    <w:rsid w:val="007103E9"/>
    <w:rsid w:val="00714E8A"/>
    <w:rsid w:val="00716E29"/>
    <w:rsid w:val="00717297"/>
    <w:rsid w:val="00717FFC"/>
    <w:rsid w:val="00722D17"/>
    <w:rsid w:val="00723209"/>
    <w:rsid w:val="007238FD"/>
    <w:rsid w:val="00723F9D"/>
    <w:rsid w:val="0072424D"/>
    <w:rsid w:val="00724890"/>
    <w:rsid w:val="00724B6C"/>
    <w:rsid w:val="007270CD"/>
    <w:rsid w:val="0073119F"/>
    <w:rsid w:val="007321FE"/>
    <w:rsid w:val="0073357E"/>
    <w:rsid w:val="007355A4"/>
    <w:rsid w:val="007364A9"/>
    <w:rsid w:val="007425E5"/>
    <w:rsid w:val="007444D0"/>
    <w:rsid w:val="007456DC"/>
    <w:rsid w:val="007476B9"/>
    <w:rsid w:val="0075238B"/>
    <w:rsid w:val="0075258B"/>
    <w:rsid w:val="007529CF"/>
    <w:rsid w:val="00754067"/>
    <w:rsid w:val="0075417B"/>
    <w:rsid w:val="00755256"/>
    <w:rsid w:val="007571A8"/>
    <w:rsid w:val="00757E7D"/>
    <w:rsid w:val="00763382"/>
    <w:rsid w:val="00767586"/>
    <w:rsid w:val="007678BD"/>
    <w:rsid w:val="007722AC"/>
    <w:rsid w:val="00773B48"/>
    <w:rsid w:val="00774D51"/>
    <w:rsid w:val="00776507"/>
    <w:rsid w:val="00780E3D"/>
    <w:rsid w:val="00786B6D"/>
    <w:rsid w:val="00791AA3"/>
    <w:rsid w:val="007933FC"/>
    <w:rsid w:val="007A124C"/>
    <w:rsid w:val="007A1572"/>
    <w:rsid w:val="007A53AE"/>
    <w:rsid w:val="007B0E51"/>
    <w:rsid w:val="007B16FD"/>
    <w:rsid w:val="007B2116"/>
    <w:rsid w:val="007B5996"/>
    <w:rsid w:val="007B59F2"/>
    <w:rsid w:val="007C1668"/>
    <w:rsid w:val="007C7AB1"/>
    <w:rsid w:val="007D082A"/>
    <w:rsid w:val="007D62B8"/>
    <w:rsid w:val="007D6A68"/>
    <w:rsid w:val="007D7FED"/>
    <w:rsid w:val="007E6231"/>
    <w:rsid w:val="007F1098"/>
    <w:rsid w:val="007F38B6"/>
    <w:rsid w:val="007F3D72"/>
    <w:rsid w:val="007F419E"/>
    <w:rsid w:val="007F6362"/>
    <w:rsid w:val="00801636"/>
    <w:rsid w:val="00801933"/>
    <w:rsid w:val="00802669"/>
    <w:rsid w:val="008053A7"/>
    <w:rsid w:val="00807B8F"/>
    <w:rsid w:val="0081236E"/>
    <w:rsid w:val="00814FF0"/>
    <w:rsid w:val="008159FE"/>
    <w:rsid w:val="008160AE"/>
    <w:rsid w:val="00821E59"/>
    <w:rsid w:val="00824733"/>
    <w:rsid w:val="00825456"/>
    <w:rsid w:val="008261C6"/>
    <w:rsid w:val="0082643D"/>
    <w:rsid w:val="00826B51"/>
    <w:rsid w:val="00827168"/>
    <w:rsid w:val="00834238"/>
    <w:rsid w:val="00834E7D"/>
    <w:rsid w:val="00836B67"/>
    <w:rsid w:val="00836CB3"/>
    <w:rsid w:val="0084034A"/>
    <w:rsid w:val="00841ED0"/>
    <w:rsid w:val="00845A19"/>
    <w:rsid w:val="0084693B"/>
    <w:rsid w:val="0085005D"/>
    <w:rsid w:val="00860659"/>
    <w:rsid w:val="008606F6"/>
    <w:rsid w:val="00861E11"/>
    <w:rsid w:val="00863328"/>
    <w:rsid w:val="00864649"/>
    <w:rsid w:val="00872BC1"/>
    <w:rsid w:val="00873971"/>
    <w:rsid w:val="00873B5D"/>
    <w:rsid w:val="00874175"/>
    <w:rsid w:val="00883D82"/>
    <w:rsid w:val="00884814"/>
    <w:rsid w:val="00887A9B"/>
    <w:rsid w:val="008905C5"/>
    <w:rsid w:val="008920F5"/>
    <w:rsid w:val="0089291F"/>
    <w:rsid w:val="00893CAB"/>
    <w:rsid w:val="00896FA2"/>
    <w:rsid w:val="008A2009"/>
    <w:rsid w:val="008A336F"/>
    <w:rsid w:val="008A75B2"/>
    <w:rsid w:val="008A7721"/>
    <w:rsid w:val="008B18C6"/>
    <w:rsid w:val="008B24B0"/>
    <w:rsid w:val="008B2D22"/>
    <w:rsid w:val="008B479E"/>
    <w:rsid w:val="008C1596"/>
    <w:rsid w:val="008C19CA"/>
    <w:rsid w:val="008C2635"/>
    <w:rsid w:val="008C2890"/>
    <w:rsid w:val="008C33C2"/>
    <w:rsid w:val="008C3867"/>
    <w:rsid w:val="008C4F13"/>
    <w:rsid w:val="008C7469"/>
    <w:rsid w:val="008D1D44"/>
    <w:rsid w:val="008D531B"/>
    <w:rsid w:val="008E0555"/>
    <w:rsid w:val="008E2091"/>
    <w:rsid w:val="008E67BF"/>
    <w:rsid w:val="008E6919"/>
    <w:rsid w:val="008F31C5"/>
    <w:rsid w:val="00900F04"/>
    <w:rsid w:val="00902692"/>
    <w:rsid w:val="0090273C"/>
    <w:rsid w:val="00906A11"/>
    <w:rsid w:val="00911985"/>
    <w:rsid w:val="00911E8D"/>
    <w:rsid w:val="00915C89"/>
    <w:rsid w:val="0091727F"/>
    <w:rsid w:val="00917302"/>
    <w:rsid w:val="00921323"/>
    <w:rsid w:val="00923091"/>
    <w:rsid w:val="009249F6"/>
    <w:rsid w:val="009259E1"/>
    <w:rsid w:val="00926077"/>
    <w:rsid w:val="0093163D"/>
    <w:rsid w:val="00931D0F"/>
    <w:rsid w:val="00932ACB"/>
    <w:rsid w:val="00934EAD"/>
    <w:rsid w:val="00935BBF"/>
    <w:rsid w:val="00937066"/>
    <w:rsid w:val="00937845"/>
    <w:rsid w:val="009404EE"/>
    <w:rsid w:val="00941B13"/>
    <w:rsid w:val="00941D63"/>
    <w:rsid w:val="0094371E"/>
    <w:rsid w:val="00950601"/>
    <w:rsid w:val="0095327F"/>
    <w:rsid w:val="00954C9C"/>
    <w:rsid w:val="00961350"/>
    <w:rsid w:val="00963A44"/>
    <w:rsid w:val="00965328"/>
    <w:rsid w:val="009655C2"/>
    <w:rsid w:val="00971E9E"/>
    <w:rsid w:val="009720DD"/>
    <w:rsid w:val="00972D40"/>
    <w:rsid w:val="009833A9"/>
    <w:rsid w:val="00984509"/>
    <w:rsid w:val="00984B4D"/>
    <w:rsid w:val="00986159"/>
    <w:rsid w:val="00991D52"/>
    <w:rsid w:val="00992447"/>
    <w:rsid w:val="00997228"/>
    <w:rsid w:val="009A054B"/>
    <w:rsid w:val="009A0896"/>
    <w:rsid w:val="009A246D"/>
    <w:rsid w:val="009A2F22"/>
    <w:rsid w:val="009A5990"/>
    <w:rsid w:val="009A6D8E"/>
    <w:rsid w:val="009A76B7"/>
    <w:rsid w:val="009B0C59"/>
    <w:rsid w:val="009B15CA"/>
    <w:rsid w:val="009C05A9"/>
    <w:rsid w:val="009C2FC0"/>
    <w:rsid w:val="009C37C8"/>
    <w:rsid w:val="009C4CC8"/>
    <w:rsid w:val="009C5B1D"/>
    <w:rsid w:val="009C5DC1"/>
    <w:rsid w:val="009D0EB3"/>
    <w:rsid w:val="009D26AC"/>
    <w:rsid w:val="009D2A11"/>
    <w:rsid w:val="009D40C2"/>
    <w:rsid w:val="009D4F4D"/>
    <w:rsid w:val="009D65F3"/>
    <w:rsid w:val="009D71E9"/>
    <w:rsid w:val="009E0EA9"/>
    <w:rsid w:val="009E1F96"/>
    <w:rsid w:val="009E23A1"/>
    <w:rsid w:val="009E479D"/>
    <w:rsid w:val="009E5116"/>
    <w:rsid w:val="009E51D4"/>
    <w:rsid w:val="009F3BF1"/>
    <w:rsid w:val="009F3EB3"/>
    <w:rsid w:val="009F6A0E"/>
    <w:rsid w:val="009F78EA"/>
    <w:rsid w:val="00A0418C"/>
    <w:rsid w:val="00A059B8"/>
    <w:rsid w:val="00A062A6"/>
    <w:rsid w:val="00A12054"/>
    <w:rsid w:val="00A120AF"/>
    <w:rsid w:val="00A173AE"/>
    <w:rsid w:val="00A17AD0"/>
    <w:rsid w:val="00A258E7"/>
    <w:rsid w:val="00A25DC1"/>
    <w:rsid w:val="00A31066"/>
    <w:rsid w:val="00A332AF"/>
    <w:rsid w:val="00A41D16"/>
    <w:rsid w:val="00A4763A"/>
    <w:rsid w:val="00A51161"/>
    <w:rsid w:val="00A51982"/>
    <w:rsid w:val="00A60307"/>
    <w:rsid w:val="00A631C5"/>
    <w:rsid w:val="00A65CF4"/>
    <w:rsid w:val="00A66016"/>
    <w:rsid w:val="00A66E5E"/>
    <w:rsid w:val="00A731E3"/>
    <w:rsid w:val="00A7345B"/>
    <w:rsid w:val="00A73E3D"/>
    <w:rsid w:val="00A76E68"/>
    <w:rsid w:val="00A77981"/>
    <w:rsid w:val="00A81CCB"/>
    <w:rsid w:val="00A81F44"/>
    <w:rsid w:val="00A83E7D"/>
    <w:rsid w:val="00A84C35"/>
    <w:rsid w:val="00A8512B"/>
    <w:rsid w:val="00A910D3"/>
    <w:rsid w:val="00A91CDE"/>
    <w:rsid w:val="00A967D8"/>
    <w:rsid w:val="00AA0A0A"/>
    <w:rsid w:val="00AA22CD"/>
    <w:rsid w:val="00AA3C00"/>
    <w:rsid w:val="00AA6854"/>
    <w:rsid w:val="00AB2AFD"/>
    <w:rsid w:val="00AC0608"/>
    <w:rsid w:val="00AC5D84"/>
    <w:rsid w:val="00AC6078"/>
    <w:rsid w:val="00AD2ECA"/>
    <w:rsid w:val="00AD55BF"/>
    <w:rsid w:val="00AD566E"/>
    <w:rsid w:val="00AD6ADF"/>
    <w:rsid w:val="00AE5136"/>
    <w:rsid w:val="00AF0D36"/>
    <w:rsid w:val="00AF135B"/>
    <w:rsid w:val="00AF1BFD"/>
    <w:rsid w:val="00AF1E07"/>
    <w:rsid w:val="00AF2124"/>
    <w:rsid w:val="00AF6F8A"/>
    <w:rsid w:val="00AF73CB"/>
    <w:rsid w:val="00B04ED8"/>
    <w:rsid w:val="00B07860"/>
    <w:rsid w:val="00B13160"/>
    <w:rsid w:val="00B26031"/>
    <w:rsid w:val="00B305AE"/>
    <w:rsid w:val="00B30A43"/>
    <w:rsid w:val="00B30DF0"/>
    <w:rsid w:val="00B3316B"/>
    <w:rsid w:val="00B40F51"/>
    <w:rsid w:val="00B414EB"/>
    <w:rsid w:val="00B41B24"/>
    <w:rsid w:val="00B45A60"/>
    <w:rsid w:val="00B46392"/>
    <w:rsid w:val="00B46510"/>
    <w:rsid w:val="00B469C0"/>
    <w:rsid w:val="00B50EE9"/>
    <w:rsid w:val="00B53822"/>
    <w:rsid w:val="00B566DB"/>
    <w:rsid w:val="00B5695A"/>
    <w:rsid w:val="00B56F1E"/>
    <w:rsid w:val="00B60819"/>
    <w:rsid w:val="00B60E09"/>
    <w:rsid w:val="00B640BE"/>
    <w:rsid w:val="00B64FAF"/>
    <w:rsid w:val="00B656BB"/>
    <w:rsid w:val="00B66F29"/>
    <w:rsid w:val="00B67798"/>
    <w:rsid w:val="00B71FC5"/>
    <w:rsid w:val="00B73448"/>
    <w:rsid w:val="00B7542A"/>
    <w:rsid w:val="00B862B0"/>
    <w:rsid w:val="00B873D4"/>
    <w:rsid w:val="00B87C4C"/>
    <w:rsid w:val="00B9121A"/>
    <w:rsid w:val="00B936BA"/>
    <w:rsid w:val="00B93E53"/>
    <w:rsid w:val="00B97BB1"/>
    <w:rsid w:val="00BA3B68"/>
    <w:rsid w:val="00BA3C7F"/>
    <w:rsid w:val="00BB1A62"/>
    <w:rsid w:val="00BB2885"/>
    <w:rsid w:val="00BB5131"/>
    <w:rsid w:val="00BB7C26"/>
    <w:rsid w:val="00BB7E62"/>
    <w:rsid w:val="00BC1003"/>
    <w:rsid w:val="00BC1EBE"/>
    <w:rsid w:val="00BC2CB5"/>
    <w:rsid w:val="00BC312D"/>
    <w:rsid w:val="00BC4304"/>
    <w:rsid w:val="00BC7399"/>
    <w:rsid w:val="00BC7558"/>
    <w:rsid w:val="00BD0F1F"/>
    <w:rsid w:val="00BD0FEF"/>
    <w:rsid w:val="00BD23B0"/>
    <w:rsid w:val="00BE27A9"/>
    <w:rsid w:val="00BE40FF"/>
    <w:rsid w:val="00BE4351"/>
    <w:rsid w:val="00BE4C0D"/>
    <w:rsid w:val="00BE55F4"/>
    <w:rsid w:val="00BF0C5D"/>
    <w:rsid w:val="00BF1C3F"/>
    <w:rsid w:val="00BF6518"/>
    <w:rsid w:val="00BF7E24"/>
    <w:rsid w:val="00C0058C"/>
    <w:rsid w:val="00C0213D"/>
    <w:rsid w:val="00C04142"/>
    <w:rsid w:val="00C10C31"/>
    <w:rsid w:val="00C120E1"/>
    <w:rsid w:val="00C1548E"/>
    <w:rsid w:val="00C25FED"/>
    <w:rsid w:val="00C26D47"/>
    <w:rsid w:val="00C27EC8"/>
    <w:rsid w:val="00C34CCF"/>
    <w:rsid w:val="00C4133D"/>
    <w:rsid w:val="00C437A9"/>
    <w:rsid w:val="00C4765B"/>
    <w:rsid w:val="00C5044B"/>
    <w:rsid w:val="00C55192"/>
    <w:rsid w:val="00C60333"/>
    <w:rsid w:val="00C6310C"/>
    <w:rsid w:val="00C6381C"/>
    <w:rsid w:val="00C64100"/>
    <w:rsid w:val="00C64CB2"/>
    <w:rsid w:val="00C66178"/>
    <w:rsid w:val="00C667EA"/>
    <w:rsid w:val="00C708FD"/>
    <w:rsid w:val="00C72036"/>
    <w:rsid w:val="00C72BD3"/>
    <w:rsid w:val="00C73592"/>
    <w:rsid w:val="00C765A5"/>
    <w:rsid w:val="00C806E4"/>
    <w:rsid w:val="00C824C2"/>
    <w:rsid w:val="00C846F9"/>
    <w:rsid w:val="00C85305"/>
    <w:rsid w:val="00C874EB"/>
    <w:rsid w:val="00C92D29"/>
    <w:rsid w:val="00C92F62"/>
    <w:rsid w:val="00C93B1A"/>
    <w:rsid w:val="00C9481F"/>
    <w:rsid w:val="00C95ADF"/>
    <w:rsid w:val="00C95C23"/>
    <w:rsid w:val="00C97655"/>
    <w:rsid w:val="00C97BFB"/>
    <w:rsid w:val="00CA096E"/>
    <w:rsid w:val="00CA0C5A"/>
    <w:rsid w:val="00CA2B92"/>
    <w:rsid w:val="00CA4066"/>
    <w:rsid w:val="00CA67AF"/>
    <w:rsid w:val="00CA6BED"/>
    <w:rsid w:val="00CA746B"/>
    <w:rsid w:val="00CB25C1"/>
    <w:rsid w:val="00CB2C22"/>
    <w:rsid w:val="00CC2F99"/>
    <w:rsid w:val="00CC456D"/>
    <w:rsid w:val="00CC6331"/>
    <w:rsid w:val="00CC702E"/>
    <w:rsid w:val="00CC744A"/>
    <w:rsid w:val="00CD0481"/>
    <w:rsid w:val="00CD313F"/>
    <w:rsid w:val="00CD5B36"/>
    <w:rsid w:val="00CE059F"/>
    <w:rsid w:val="00CE23B2"/>
    <w:rsid w:val="00CE28D7"/>
    <w:rsid w:val="00CE44FF"/>
    <w:rsid w:val="00CF3865"/>
    <w:rsid w:val="00CF41A7"/>
    <w:rsid w:val="00CF537D"/>
    <w:rsid w:val="00CF60B3"/>
    <w:rsid w:val="00CF7800"/>
    <w:rsid w:val="00D03FF7"/>
    <w:rsid w:val="00D04020"/>
    <w:rsid w:val="00D06B55"/>
    <w:rsid w:val="00D12810"/>
    <w:rsid w:val="00D12815"/>
    <w:rsid w:val="00D1326F"/>
    <w:rsid w:val="00D14F7F"/>
    <w:rsid w:val="00D2480D"/>
    <w:rsid w:val="00D274E0"/>
    <w:rsid w:val="00D32F3E"/>
    <w:rsid w:val="00D35500"/>
    <w:rsid w:val="00D36297"/>
    <w:rsid w:val="00D3648C"/>
    <w:rsid w:val="00D40977"/>
    <w:rsid w:val="00D447BC"/>
    <w:rsid w:val="00D4565E"/>
    <w:rsid w:val="00D45E3D"/>
    <w:rsid w:val="00D46ACA"/>
    <w:rsid w:val="00D46F2D"/>
    <w:rsid w:val="00D473A2"/>
    <w:rsid w:val="00D51FDE"/>
    <w:rsid w:val="00D53A3B"/>
    <w:rsid w:val="00D56040"/>
    <w:rsid w:val="00D577C6"/>
    <w:rsid w:val="00D60537"/>
    <w:rsid w:val="00D61494"/>
    <w:rsid w:val="00D65FD0"/>
    <w:rsid w:val="00D66F1A"/>
    <w:rsid w:val="00D71328"/>
    <w:rsid w:val="00D74C50"/>
    <w:rsid w:val="00D74C5B"/>
    <w:rsid w:val="00D765D9"/>
    <w:rsid w:val="00D768E6"/>
    <w:rsid w:val="00D82745"/>
    <w:rsid w:val="00D82B55"/>
    <w:rsid w:val="00D8454E"/>
    <w:rsid w:val="00D84F19"/>
    <w:rsid w:val="00D855D8"/>
    <w:rsid w:val="00D920EE"/>
    <w:rsid w:val="00D9290E"/>
    <w:rsid w:val="00D93D29"/>
    <w:rsid w:val="00D95D25"/>
    <w:rsid w:val="00D97114"/>
    <w:rsid w:val="00D9736E"/>
    <w:rsid w:val="00DA1499"/>
    <w:rsid w:val="00DA265D"/>
    <w:rsid w:val="00DA37BE"/>
    <w:rsid w:val="00DB12A0"/>
    <w:rsid w:val="00DB40AE"/>
    <w:rsid w:val="00DB5537"/>
    <w:rsid w:val="00DB60B0"/>
    <w:rsid w:val="00DB6179"/>
    <w:rsid w:val="00DC15F2"/>
    <w:rsid w:val="00DC2CA4"/>
    <w:rsid w:val="00DC36BB"/>
    <w:rsid w:val="00DC3A44"/>
    <w:rsid w:val="00DC482C"/>
    <w:rsid w:val="00DD033D"/>
    <w:rsid w:val="00DD0D35"/>
    <w:rsid w:val="00DD4A92"/>
    <w:rsid w:val="00DD6DCC"/>
    <w:rsid w:val="00DD7127"/>
    <w:rsid w:val="00DE30F6"/>
    <w:rsid w:val="00DE588B"/>
    <w:rsid w:val="00DE77AF"/>
    <w:rsid w:val="00DF05B5"/>
    <w:rsid w:val="00DF2039"/>
    <w:rsid w:val="00DF4BA8"/>
    <w:rsid w:val="00DF6764"/>
    <w:rsid w:val="00DF6E1A"/>
    <w:rsid w:val="00E00639"/>
    <w:rsid w:val="00E0101D"/>
    <w:rsid w:val="00E01955"/>
    <w:rsid w:val="00E04235"/>
    <w:rsid w:val="00E053E3"/>
    <w:rsid w:val="00E0614C"/>
    <w:rsid w:val="00E06BFD"/>
    <w:rsid w:val="00E06DC2"/>
    <w:rsid w:val="00E1468A"/>
    <w:rsid w:val="00E15603"/>
    <w:rsid w:val="00E15945"/>
    <w:rsid w:val="00E17137"/>
    <w:rsid w:val="00E21452"/>
    <w:rsid w:val="00E2275B"/>
    <w:rsid w:val="00E23467"/>
    <w:rsid w:val="00E247DD"/>
    <w:rsid w:val="00E2591A"/>
    <w:rsid w:val="00E302D8"/>
    <w:rsid w:val="00E30D0F"/>
    <w:rsid w:val="00E31816"/>
    <w:rsid w:val="00E34AF3"/>
    <w:rsid w:val="00E36AED"/>
    <w:rsid w:val="00E37BF2"/>
    <w:rsid w:val="00E417F8"/>
    <w:rsid w:val="00E418FB"/>
    <w:rsid w:val="00E41E54"/>
    <w:rsid w:val="00E42555"/>
    <w:rsid w:val="00E44D7F"/>
    <w:rsid w:val="00E46541"/>
    <w:rsid w:val="00E52789"/>
    <w:rsid w:val="00E52AD5"/>
    <w:rsid w:val="00E54008"/>
    <w:rsid w:val="00E54482"/>
    <w:rsid w:val="00E54AA4"/>
    <w:rsid w:val="00E62E04"/>
    <w:rsid w:val="00E6583B"/>
    <w:rsid w:val="00E65C6A"/>
    <w:rsid w:val="00E714A1"/>
    <w:rsid w:val="00E824A9"/>
    <w:rsid w:val="00E83C98"/>
    <w:rsid w:val="00E902E4"/>
    <w:rsid w:val="00E91079"/>
    <w:rsid w:val="00E94EDB"/>
    <w:rsid w:val="00E9574A"/>
    <w:rsid w:val="00EA18DF"/>
    <w:rsid w:val="00EA36DF"/>
    <w:rsid w:val="00EA526E"/>
    <w:rsid w:val="00EB0BF2"/>
    <w:rsid w:val="00EB18E9"/>
    <w:rsid w:val="00EB2242"/>
    <w:rsid w:val="00EB58BE"/>
    <w:rsid w:val="00EB5B10"/>
    <w:rsid w:val="00EB6540"/>
    <w:rsid w:val="00EB7A53"/>
    <w:rsid w:val="00EC01AB"/>
    <w:rsid w:val="00EC08CA"/>
    <w:rsid w:val="00EC10E8"/>
    <w:rsid w:val="00EC3C60"/>
    <w:rsid w:val="00ED3652"/>
    <w:rsid w:val="00ED3901"/>
    <w:rsid w:val="00EE068B"/>
    <w:rsid w:val="00EE0F12"/>
    <w:rsid w:val="00EE3F76"/>
    <w:rsid w:val="00EE4ED9"/>
    <w:rsid w:val="00EE5B4D"/>
    <w:rsid w:val="00EF0582"/>
    <w:rsid w:val="00EF105B"/>
    <w:rsid w:val="00EF2587"/>
    <w:rsid w:val="00EF4487"/>
    <w:rsid w:val="00EF4643"/>
    <w:rsid w:val="00EF4681"/>
    <w:rsid w:val="00EF4A44"/>
    <w:rsid w:val="00F00C10"/>
    <w:rsid w:val="00F013CC"/>
    <w:rsid w:val="00F064C7"/>
    <w:rsid w:val="00F06F91"/>
    <w:rsid w:val="00F118EA"/>
    <w:rsid w:val="00F124CD"/>
    <w:rsid w:val="00F12B7C"/>
    <w:rsid w:val="00F16918"/>
    <w:rsid w:val="00F2251C"/>
    <w:rsid w:val="00F22979"/>
    <w:rsid w:val="00F26BBC"/>
    <w:rsid w:val="00F276BF"/>
    <w:rsid w:val="00F327EF"/>
    <w:rsid w:val="00F32C75"/>
    <w:rsid w:val="00F3327B"/>
    <w:rsid w:val="00F33B6F"/>
    <w:rsid w:val="00F34A25"/>
    <w:rsid w:val="00F3635B"/>
    <w:rsid w:val="00F3651A"/>
    <w:rsid w:val="00F4170E"/>
    <w:rsid w:val="00F46973"/>
    <w:rsid w:val="00F568AD"/>
    <w:rsid w:val="00F61466"/>
    <w:rsid w:val="00F61492"/>
    <w:rsid w:val="00F62F4C"/>
    <w:rsid w:val="00F642FE"/>
    <w:rsid w:val="00F6660C"/>
    <w:rsid w:val="00F75426"/>
    <w:rsid w:val="00F7781F"/>
    <w:rsid w:val="00F813EB"/>
    <w:rsid w:val="00F84C53"/>
    <w:rsid w:val="00F850E5"/>
    <w:rsid w:val="00F86808"/>
    <w:rsid w:val="00F86A29"/>
    <w:rsid w:val="00F90F7A"/>
    <w:rsid w:val="00F91373"/>
    <w:rsid w:val="00FA067E"/>
    <w:rsid w:val="00FA26D7"/>
    <w:rsid w:val="00FA3D99"/>
    <w:rsid w:val="00FA5041"/>
    <w:rsid w:val="00FA5A7D"/>
    <w:rsid w:val="00FA6DCF"/>
    <w:rsid w:val="00FA738F"/>
    <w:rsid w:val="00FA750E"/>
    <w:rsid w:val="00FB198B"/>
    <w:rsid w:val="00FB2493"/>
    <w:rsid w:val="00FB24FC"/>
    <w:rsid w:val="00FB4978"/>
    <w:rsid w:val="00FB5332"/>
    <w:rsid w:val="00FB5C97"/>
    <w:rsid w:val="00FB5F05"/>
    <w:rsid w:val="00FB72D4"/>
    <w:rsid w:val="00FB75DA"/>
    <w:rsid w:val="00FC69C2"/>
    <w:rsid w:val="00FC7BD0"/>
    <w:rsid w:val="00FD273D"/>
    <w:rsid w:val="00FD5FFE"/>
    <w:rsid w:val="00FE47A3"/>
    <w:rsid w:val="00FE4EE9"/>
    <w:rsid w:val="00FE7FBA"/>
    <w:rsid w:val="00FF0727"/>
    <w:rsid w:val="00FF3D93"/>
    <w:rsid w:val="00FF3EB9"/>
    <w:rsid w:val="00FF3EC6"/>
    <w:rsid w:val="00FF68A1"/>
    <w:rsid w:val="00FF7929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35A7625E"/>
  <w15:docId w15:val="{BCA4C8F9-40EE-4D6A-8732-D27D37E2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4B6"/>
    <w:pPr>
      <w:spacing w:before="120" w:after="12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3A96"/>
    <w:pPr>
      <w:keepNext/>
      <w:keepLines/>
      <w:suppressAutoHyphens/>
      <w:spacing w:after="400" w:line="400" w:lineRule="atLeast"/>
      <w:contextualSpacing/>
      <w:outlineLvl w:val="0"/>
    </w:pPr>
    <w:rPr>
      <w:rFonts w:eastAsiaTheme="majorEastAsia" w:cstheme="majorBidi"/>
      <w:b/>
      <w:bCs/>
      <w:color w:val="FFFFFF" w:themeColor="background1"/>
      <w:spacing w:val="-4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3A96"/>
    <w:pPr>
      <w:keepNext/>
      <w:keepLines/>
      <w:pBdr>
        <w:bottom w:val="single" w:sz="12" w:space="1" w:color="093E52"/>
      </w:pBdr>
      <w:suppressAutoHyphens/>
      <w:spacing w:before="360" w:line="300" w:lineRule="atLeast"/>
      <w:contextualSpacing/>
      <w:outlineLvl w:val="1"/>
    </w:pPr>
    <w:rPr>
      <w:rFonts w:eastAsiaTheme="majorEastAsia" w:cstheme="majorHAnsi"/>
      <w:b/>
      <w:bCs/>
      <w:color w:val="093E52"/>
      <w:spacing w:val="-4"/>
      <w:sz w:val="3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10E8"/>
    <w:pPr>
      <w:keepNext/>
      <w:keepLines/>
      <w:suppressAutoHyphens/>
      <w:spacing w:before="240" w:after="240" w:line="280" w:lineRule="atLeast"/>
      <w:outlineLvl w:val="2"/>
    </w:pPr>
    <w:rPr>
      <w:rFonts w:eastAsiaTheme="majorEastAsia" w:cstheme="majorBidi"/>
      <w:b/>
      <w:bCs/>
      <w:color w:val="093E52"/>
      <w:spacing w:val="-4"/>
      <w:sz w:val="30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3A96"/>
    <w:pPr>
      <w:keepNext/>
      <w:keepLines/>
      <w:suppressAutoHyphens/>
      <w:spacing w:before="180" w:after="60" w:line="280" w:lineRule="atLeast"/>
      <w:outlineLvl w:val="3"/>
    </w:pPr>
    <w:rPr>
      <w:rFonts w:eastAsiaTheme="majorEastAsia" w:cstheme="majorBidi"/>
      <w:b/>
      <w:iCs/>
      <w:color w:val="093E52"/>
      <w:spacing w:val="-4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3A96"/>
    <w:pPr>
      <w:keepNext/>
      <w:keepLines/>
      <w:suppressAutoHyphens/>
      <w:spacing w:before="240" w:after="0" w:line="280" w:lineRule="atLeast"/>
      <w:outlineLvl w:val="4"/>
    </w:pPr>
    <w:rPr>
      <w:rFonts w:eastAsiaTheme="majorEastAsia" w:cstheme="majorBidi"/>
      <w:b/>
      <w:color w:val="093E52"/>
      <w:spacing w:val="-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33A96"/>
    <w:pPr>
      <w:keepNext/>
      <w:keepLines/>
      <w:suppressAutoHyphens/>
      <w:spacing w:before="200" w:after="0" w:line="280" w:lineRule="atLeast"/>
      <w:outlineLvl w:val="5"/>
    </w:pPr>
    <w:rPr>
      <w:rFonts w:eastAsiaTheme="majorEastAsia" w:cstheme="majorBidi"/>
      <w:b/>
      <w:i/>
      <w:iCs/>
      <w:color w:val="093E52"/>
      <w:spacing w:val="-4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033A96"/>
    <w:pPr>
      <w:keepNext/>
      <w:keepLines/>
      <w:suppressAutoHyphens/>
      <w:spacing w:before="200" w:after="0" w:line="280" w:lineRule="atLeast"/>
      <w:outlineLvl w:val="6"/>
    </w:pPr>
    <w:rPr>
      <w:rFonts w:eastAsiaTheme="majorEastAsia" w:cstheme="majorBidi"/>
      <w:i/>
      <w:iCs/>
      <w:color w:val="093E52"/>
      <w:spacing w:val="-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33A96"/>
    <w:pPr>
      <w:keepNext/>
      <w:keepLines/>
      <w:suppressAutoHyphens/>
      <w:spacing w:before="200" w:after="0" w:line="280" w:lineRule="atLeast"/>
      <w:outlineLvl w:val="7"/>
    </w:pPr>
    <w:rPr>
      <w:rFonts w:eastAsiaTheme="majorEastAsia" w:cstheme="majorBidi"/>
      <w:color w:val="093E52"/>
      <w:spacing w:val="-4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33A96"/>
    <w:pPr>
      <w:keepNext/>
      <w:keepLines/>
      <w:suppressAutoHyphens/>
      <w:spacing w:before="200" w:after="0" w:line="280" w:lineRule="atLeast"/>
      <w:outlineLvl w:val="8"/>
    </w:pPr>
    <w:rPr>
      <w:rFonts w:eastAsiaTheme="majorEastAsia" w:cstheme="majorBidi"/>
      <w:i/>
      <w:iCs/>
      <w:color w:val="093E52"/>
      <w:spacing w:val="-4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5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MA-default">
    <w:name w:val="AFMA - default"/>
    <w:basedOn w:val="TableNormal"/>
    <w:uiPriority w:val="99"/>
    <w:rsid w:val="00FA5A7D"/>
    <w:pPr>
      <w:spacing w:before="60" w:after="60" w:line="240" w:lineRule="auto"/>
    </w:pPr>
    <w:rPr>
      <w:rFonts w:ascii="Arial Narrow" w:hAnsi="Arial Narrow"/>
      <w:color w:val="333333"/>
    </w:rPr>
    <w:tblPr>
      <w:tblStyleRow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blStylePr w:type="firstRow">
      <w:rPr>
        <w:color w:val="FFFFFF" w:themeColor="background1"/>
        <w:sz w:val="24"/>
      </w:rPr>
      <w:tblPr/>
      <w:trPr>
        <w:cantSplit/>
        <w:tblHeader/>
      </w:trPr>
      <w:tcPr>
        <w:shd w:val="clear" w:color="auto" w:fill="006C8B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LightShading">
    <w:name w:val="Light Shading"/>
    <w:basedOn w:val="TableNormal"/>
    <w:uiPriority w:val="60"/>
    <w:rsid w:val="002F50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33A96"/>
    <w:rPr>
      <w:rFonts w:ascii="Arial" w:eastAsiaTheme="majorEastAsia" w:hAnsi="Arial" w:cstheme="majorBidi"/>
      <w:b/>
      <w:bCs/>
      <w:color w:val="FFFFFF" w:themeColor="background1"/>
      <w:spacing w:val="-4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33A96"/>
    <w:rPr>
      <w:rFonts w:ascii="Arial" w:eastAsiaTheme="majorEastAsia" w:hAnsi="Arial" w:cstheme="majorHAnsi"/>
      <w:b/>
      <w:bCs/>
      <w:color w:val="093E52"/>
      <w:spacing w:val="-4"/>
      <w:sz w:val="3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C10E8"/>
    <w:rPr>
      <w:rFonts w:ascii="Arial" w:eastAsiaTheme="majorEastAsia" w:hAnsi="Arial" w:cstheme="majorBidi"/>
      <w:b/>
      <w:bCs/>
      <w:color w:val="093E52"/>
      <w:spacing w:val="-4"/>
      <w:sz w:val="3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33A96"/>
    <w:rPr>
      <w:rFonts w:ascii="Arial" w:eastAsiaTheme="majorEastAsia" w:hAnsi="Arial" w:cstheme="majorBidi"/>
      <w:b/>
      <w:iCs/>
      <w:color w:val="093E52"/>
      <w:spacing w:val="-4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033A96"/>
    <w:rPr>
      <w:rFonts w:ascii="Arial" w:eastAsiaTheme="majorEastAsia" w:hAnsi="Arial" w:cstheme="majorBidi"/>
      <w:b/>
      <w:color w:val="093E52"/>
      <w:spacing w:val="-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33A96"/>
    <w:rPr>
      <w:rFonts w:ascii="Arial" w:eastAsiaTheme="majorEastAsia" w:hAnsi="Arial" w:cstheme="majorBidi"/>
      <w:b/>
      <w:i/>
      <w:iCs/>
      <w:color w:val="093E52"/>
      <w:spacing w:val="-4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33A96"/>
    <w:rPr>
      <w:rFonts w:ascii="Arial" w:eastAsiaTheme="majorEastAsia" w:hAnsi="Arial" w:cstheme="majorBidi"/>
      <w:i/>
      <w:iCs/>
      <w:color w:val="093E52"/>
      <w:spacing w:val="-4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33A96"/>
    <w:rPr>
      <w:rFonts w:ascii="Arial" w:eastAsiaTheme="majorEastAsia" w:hAnsi="Arial" w:cstheme="majorBidi"/>
      <w:color w:val="093E52"/>
      <w:spacing w:val="-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33A96"/>
    <w:rPr>
      <w:rFonts w:ascii="Arial" w:eastAsiaTheme="majorEastAsia" w:hAnsi="Arial" w:cstheme="majorBidi"/>
      <w:i/>
      <w:iCs/>
      <w:color w:val="093E52"/>
      <w:spacing w:val="-4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3A96"/>
    <w:pPr>
      <w:numPr>
        <w:ilvl w:val="1"/>
      </w:numPr>
      <w:suppressAutoHyphens/>
      <w:spacing w:before="180" w:after="60" w:line="300" w:lineRule="atLeast"/>
      <w:ind w:right="1134"/>
    </w:pPr>
    <w:rPr>
      <w:rFonts w:eastAsiaTheme="majorEastAsia" w:cstheme="majorBidi"/>
      <w:iCs/>
      <w:color w:val="FFFFFF" w:themeColor="background1"/>
      <w:spacing w:val="-4"/>
      <w:sz w:val="2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33A96"/>
    <w:rPr>
      <w:rFonts w:ascii="Arial" w:eastAsiaTheme="majorEastAsia" w:hAnsi="Arial" w:cstheme="majorBidi"/>
      <w:iCs/>
      <w:color w:val="FFFFFF" w:themeColor="background1"/>
      <w:spacing w:val="-4"/>
      <w:sz w:val="26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33A96"/>
    <w:pPr>
      <w:suppressAutoHyphens w:val="0"/>
      <w:spacing w:after="0" w:line="259" w:lineRule="auto"/>
      <w:contextualSpacing w:val="0"/>
      <w:outlineLvl w:val="9"/>
    </w:pPr>
    <w:rPr>
      <w:bCs w:val="0"/>
      <w:color w:val="333333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33A96"/>
    <w:pPr>
      <w:suppressAutoHyphens/>
      <w:spacing w:before="180" w:after="100" w:line="280" w:lineRule="atLeast"/>
    </w:pPr>
    <w:rPr>
      <w:color w:val="333333"/>
      <w:spacing w:val="-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33A96"/>
    <w:pPr>
      <w:suppressAutoHyphens/>
      <w:spacing w:before="180" w:after="100" w:line="280" w:lineRule="atLeast"/>
      <w:ind w:left="200"/>
    </w:pPr>
    <w:rPr>
      <w:color w:val="333333"/>
      <w:spacing w:val="-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33A96"/>
    <w:pPr>
      <w:suppressAutoHyphens/>
      <w:spacing w:before="180" w:after="100" w:line="280" w:lineRule="atLeast"/>
      <w:ind w:left="400"/>
    </w:pPr>
    <w:rPr>
      <w:color w:val="333333"/>
      <w:spacing w:val="-4"/>
    </w:rPr>
  </w:style>
  <w:style w:type="paragraph" w:styleId="TableofFigures">
    <w:name w:val="table of figures"/>
    <w:basedOn w:val="Normal"/>
    <w:next w:val="Normal"/>
    <w:uiPriority w:val="99"/>
    <w:unhideWhenUsed/>
    <w:rsid w:val="00033A96"/>
    <w:pPr>
      <w:suppressAutoHyphens/>
      <w:spacing w:before="180" w:after="0" w:line="280" w:lineRule="atLeast"/>
      <w:ind w:left="907" w:hanging="907"/>
    </w:pPr>
    <w:rPr>
      <w:color w:val="333333"/>
      <w:spacing w:val="-4"/>
    </w:rPr>
  </w:style>
  <w:style w:type="character" w:styleId="Hyperlink">
    <w:name w:val="Hyperlink"/>
    <w:basedOn w:val="DefaultParagraphFont"/>
    <w:uiPriority w:val="99"/>
    <w:rsid w:val="00033A96"/>
    <w:rPr>
      <w:rFonts w:asciiTheme="minorHAnsi" w:hAnsiTheme="minorHAnsi" w:cs="MuseoSans-500"/>
      <w:color w:val="0000EE"/>
      <w:u w:val="single" w:color="0070C0"/>
    </w:rPr>
  </w:style>
  <w:style w:type="paragraph" w:styleId="Caption">
    <w:name w:val="caption"/>
    <w:basedOn w:val="Normal"/>
    <w:next w:val="Normal"/>
    <w:uiPriority w:val="35"/>
    <w:unhideWhenUsed/>
    <w:qFormat/>
    <w:rsid w:val="00033A96"/>
    <w:pPr>
      <w:keepNext/>
      <w:suppressAutoHyphens/>
      <w:spacing w:before="240" w:after="180" w:line="240" w:lineRule="atLeast"/>
    </w:pPr>
    <w:rPr>
      <w:b/>
      <w:iCs/>
      <w:color w:val="333333"/>
      <w:spacing w:val="-4"/>
      <w:sz w:val="20"/>
      <w:szCs w:val="18"/>
    </w:rPr>
  </w:style>
  <w:style w:type="paragraph" w:customStyle="1" w:styleId="SideBarText">
    <w:name w:val="Side Bar Text"/>
    <w:basedOn w:val="Normal"/>
    <w:qFormat/>
    <w:rsid w:val="00033A96"/>
    <w:pPr>
      <w:suppressAutoHyphens/>
      <w:spacing w:after="0" w:line="200" w:lineRule="atLeast"/>
    </w:pPr>
    <w:rPr>
      <w:color w:val="333333"/>
      <w:spacing w:val="-2"/>
      <w:sz w:val="16"/>
    </w:rPr>
  </w:style>
  <w:style w:type="paragraph" w:styleId="Header">
    <w:name w:val="header"/>
    <w:basedOn w:val="Normal"/>
    <w:link w:val="HeaderChar"/>
    <w:uiPriority w:val="99"/>
    <w:unhideWhenUsed/>
    <w:rsid w:val="00033A96"/>
    <w:pPr>
      <w:tabs>
        <w:tab w:val="right" w:pos="9639"/>
      </w:tabs>
      <w:suppressAutoHyphens/>
      <w:spacing w:after="0" w:line="200" w:lineRule="atLeast"/>
    </w:pPr>
    <w:rPr>
      <w:color w:val="333333"/>
      <w:spacing w:val="-4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033A96"/>
    <w:rPr>
      <w:rFonts w:ascii="Arial" w:hAnsi="Arial"/>
      <w:color w:val="333333"/>
      <w:spacing w:val="-4"/>
      <w:sz w:val="16"/>
    </w:rPr>
  </w:style>
  <w:style w:type="paragraph" w:styleId="Footer">
    <w:name w:val="footer"/>
    <w:basedOn w:val="Normal"/>
    <w:link w:val="FooterChar"/>
    <w:uiPriority w:val="99"/>
    <w:unhideWhenUsed/>
    <w:rsid w:val="00033A96"/>
    <w:pPr>
      <w:tabs>
        <w:tab w:val="right" w:pos="9639"/>
      </w:tabs>
      <w:suppressAutoHyphens/>
      <w:spacing w:after="0" w:line="200" w:lineRule="atLeast"/>
    </w:pPr>
    <w:rPr>
      <w:color w:val="333333"/>
      <w:spacing w:val="-4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33A96"/>
    <w:rPr>
      <w:rFonts w:ascii="Arial" w:hAnsi="Arial"/>
      <w:color w:val="333333"/>
      <w:spacing w:val="-4"/>
      <w:sz w:val="16"/>
    </w:rPr>
  </w:style>
  <w:style w:type="paragraph" w:customStyle="1" w:styleId="AFMANumberedlist">
    <w:name w:val="AFMA Numbered list"/>
    <w:basedOn w:val="ListParagraph"/>
    <w:link w:val="AFMANumberedlistChar"/>
    <w:qFormat/>
    <w:rsid w:val="00763382"/>
    <w:pPr>
      <w:numPr>
        <w:numId w:val="1"/>
      </w:numPr>
      <w:suppressAutoHyphens/>
      <w:spacing w:before="180" w:after="60" w:line="280" w:lineRule="atLeast"/>
      <w:contextualSpacing w:val="0"/>
    </w:pPr>
    <w:rPr>
      <w:rFonts w:cstheme="minorHAnsi"/>
      <w:color w:val="333333"/>
      <w:spacing w:val="-4"/>
    </w:rPr>
  </w:style>
  <w:style w:type="character" w:customStyle="1" w:styleId="AFMANumberedlistChar">
    <w:name w:val="AFMA Numbered list Char"/>
    <w:basedOn w:val="DefaultParagraphFont"/>
    <w:link w:val="AFMANumberedlist"/>
    <w:rsid w:val="00763382"/>
    <w:rPr>
      <w:rFonts w:ascii="Arial" w:hAnsi="Arial" w:cstheme="minorHAnsi"/>
      <w:color w:val="333333"/>
      <w:spacing w:val="-4"/>
      <w:sz w:val="24"/>
    </w:rPr>
  </w:style>
  <w:style w:type="paragraph" w:customStyle="1" w:styleId="footerfieldtext">
    <w:name w:val="footer field text"/>
    <w:basedOn w:val="Footer"/>
    <w:link w:val="footerfieldtextChar"/>
    <w:qFormat/>
    <w:rsid w:val="00033A96"/>
    <w:rPr>
      <w:b/>
      <w:bCs/>
      <w:noProof/>
      <w:lang w:val="en-US"/>
    </w:rPr>
  </w:style>
  <w:style w:type="character" w:customStyle="1" w:styleId="footerfieldtextChar">
    <w:name w:val="footer field text Char"/>
    <w:basedOn w:val="FooterChar"/>
    <w:link w:val="footerfieldtext"/>
    <w:rsid w:val="00033A96"/>
    <w:rPr>
      <w:rFonts w:ascii="Arial" w:hAnsi="Arial"/>
      <w:b/>
      <w:bCs/>
      <w:noProof/>
      <w:color w:val="333333"/>
      <w:spacing w:val="-4"/>
      <w:sz w:val="16"/>
      <w:lang w:val="en-US"/>
    </w:rPr>
  </w:style>
  <w:style w:type="paragraph" w:customStyle="1" w:styleId="Heading2-Numbered">
    <w:name w:val="Heading 2 - Numbered"/>
    <w:basedOn w:val="Heading2"/>
    <w:next w:val="Normal"/>
    <w:qFormat/>
    <w:rsid w:val="00033A96"/>
    <w:pPr>
      <w:numPr>
        <w:ilvl w:val="1"/>
        <w:numId w:val="2"/>
      </w:numPr>
    </w:pPr>
  </w:style>
  <w:style w:type="paragraph" w:customStyle="1" w:styleId="Heading3-Numbered">
    <w:name w:val="Heading 3  - Numbered"/>
    <w:basedOn w:val="Heading3"/>
    <w:next w:val="Normal"/>
    <w:qFormat/>
    <w:rsid w:val="00033A96"/>
    <w:pPr>
      <w:numPr>
        <w:ilvl w:val="2"/>
        <w:numId w:val="2"/>
      </w:numPr>
    </w:pPr>
  </w:style>
  <w:style w:type="paragraph" w:customStyle="1" w:styleId="Heading4-Numbered">
    <w:name w:val="Heading 4 - Numbered"/>
    <w:basedOn w:val="Heading4"/>
    <w:next w:val="Normal"/>
    <w:qFormat/>
    <w:rsid w:val="00033A96"/>
    <w:pPr>
      <w:numPr>
        <w:ilvl w:val="3"/>
        <w:numId w:val="2"/>
      </w:numPr>
    </w:pPr>
  </w:style>
  <w:style w:type="paragraph" w:customStyle="1" w:styleId="Heading5-Numbered">
    <w:name w:val="Heading 5 - Numbered"/>
    <w:basedOn w:val="Heading5"/>
    <w:next w:val="Normal"/>
    <w:qFormat/>
    <w:rsid w:val="00033A96"/>
    <w:pPr>
      <w:numPr>
        <w:ilvl w:val="4"/>
        <w:numId w:val="2"/>
      </w:numPr>
    </w:pPr>
  </w:style>
  <w:style w:type="paragraph" w:customStyle="1" w:styleId="Heading6-Numbered">
    <w:name w:val="Heading 6 - Numbered"/>
    <w:basedOn w:val="Heading6"/>
    <w:next w:val="Normal"/>
    <w:qFormat/>
    <w:rsid w:val="00033A96"/>
    <w:pPr>
      <w:numPr>
        <w:ilvl w:val="5"/>
        <w:numId w:val="2"/>
      </w:numPr>
    </w:pPr>
  </w:style>
  <w:style w:type="paragraph" w:customStyle="1" w:styleId="Heading7-Numbered">
    <w:name w:val="Heading 7 - Numbered"/>
    <w:basedOn w:val="Heading7"/>
    <w:next w:val="Normal"/>
    <w:qFormat/>
    <w:rsid w:val="00033A96"/>
    <w:pPr>
      <w:numPr>
        <w:ilvl w:val="6"/>
        <w:numId w:val="2"/>
      </w:numPr>
    </w:pPr>
  </w:style>
  <w:style w:type="paragraph" w:customStyle="1" w:styleId="Heading8-Numbered">
    <w:name w:val="Heading 8 - Numbered"/>
    <w:basedOn w:val="Heading8"/>
    <w:next w:val="Normal"/>
    <w:qFormat/>
    <w:rsid w:val="00033A96"/>
    <w:pPr>
      <w:numPr>
        <w:ilvl w:val="7"/>
        <w:numId w:val="2"/>
      </w:numPr>
    </w:pPr>
  </w:style>
  <w:style w:type="paragraph" w:customStyle="1" w:styleId="Heading9-Numbered">
    <w:name w:val="Heading 9 - Numbered"/>
    <w:basedOn w:val="Heading9"/>
    <w:next w:val="Normal"/>
    <w:qFormat/>
    <w:rsid w:val="00033A96"/>
    <w:pPr>
      <w:numPr>
        <w:ilvl w:val="8"/>
        <w:numId w:val="2"/>
      </w:numPr>
    </w:pPr>
  </w:style>
  <w:style w:type="paragraph" w:customStyle="1" w:styleId="Liststyle">
    <w:name w:val="List style"/>
    <w:basedOn w:val="ListParagraph"/>
    <w:link w:val="ListstyleChar"/>
    <w:qFormat/>
    <w:rsid w:val="00033A96"/>
    <w:pPr>
      <w:numPr>
        <w:numId w:val="3"/>
      </w:numPr>
      <w:suppressAutoHyphens/>
      <w:spacing w:before="180" w:after="60" w:line="280" w:lineRule="atLeast"/>
    </w:pPr>
    <w:rPr>
      <w:rFonts w:cstheme="minorHAnsi"/>
      <w:color w:val="333333"/>
      <w:spacing w:val="-4"/>
    </w:rPr>
  </w:style>
  <w:style w:type="character" w:customStyle="1" w:styleId="ListstyleChar">
    <w:name w:val="List style Char"/>
    <w:basedOn w:val="DefaultParagraphFont"/>
    <w:link w:val="Liststyle"/>
    <w:rsid w:val="00033A96"/>
    <w:rPr>
      <w:rFonts w:ascii="Arial" w:hAnsi="Arial" w:cstheme="minorHAnsi"/>
      <w:color w:val="333333"/>
      <w:spacing w:val="-4"/>
      <w:sz w:val="24"/>
    </w:rPr>
  </w:style>
  <w:style w:type="paragraph" w:customStyle="1" w:styleId="References">
    <w:name w:val="References"/>
    <w:basedOn w:val="Normal"/>
    <w:link w:val="ReferencesChar"/>
    <w:qFormat/>
    <w:rsid w:val="00033A96"/>
    <w:pPr>
      <w:suppressAutoHyphens/>
      <w:spacing w:before="180" w:after="60" w:line="240" w:lineRule="atLeast"/>
    </w:pPr>
    <w:rPr>
      <w:rFonts w:ascii="Verdana" w:eastAsia="Times New Roman" w:hAnsi="Verdana" w:cs="Times New Roman"/>
      <w:color w:val="333333"/>
      <w:spacing w:val="-4"/>
      <w:sz w:val="18"/>
      <w:szCs w:val="20"/>
    </w:rPr>
  </w:style>
  <w:style w:type="character" w:customStyle="1" w:styleId="ReferencesChar">
    <w:name w:val="References Char"/>
    <w:basedOn w:val="DefaultParagraphFont"/>
    <w:link w:val="References"/>
    <w:rsid w:val="00033A96"/>
    <w:rPr>
      <w:rFonts w:ascii="Verdana" w:eastAsia="Times New Roman" w:hAnsi="Verdana" w:cs="Times New Roman"/>
      <w:color w:val="333333"/>
      <w:spacing w:val="-4"/>
      <w:sz w:val="18"/>
      <w:szCs w:val="20"/>
    </w:rPr>
  </w:style>
  <w:style w:type="paragraph" w:styleId="ListParagraph">
    <w:name w:val="List Paragraph"/>
    <w:basedOn w:val="Normal"/>
    <w:uiPriority w:val="34"/>
    <w:qFormat/>
    <w:rsid w:val="00033A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3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A9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26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26D7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26D7"/>
    <w:rPr>
      <w:vertAlign w:val="superscript"/>
    </w:rPr>
  </w:style>
  <w:style w:type="character" w:customStyle="1" w:styleId="DLMHeaderandFooter">
    <w:name w:val="DLM Header and Footer"/>
    <w:basedOn w:val="DefaultParagraphFont"/>
    <w:uiPriority w:val="1"/>
    <w:qFormat/>
    <w:rsid w:val="0085005D"/>
    <w:rPr>
      <w:rFonts w:ascii="Arial" w:hAnsi="Arial"/>
      <w:b/>
      <w:color w:val="FF0000"/>
      <w:spacing w:val="-4"/>
      <w:sz w:val="40"/>
    </w:rPr>
  </w:style>
  <w:style w:type="paragraph" w:customStyle="1" w:styleId="Char">
    <w:name w:val="Char"/>
    <w:basedOn w:val="Normal"/>
    <w:rsid w:val="00C72036"/>
    <w:pPr>
      <w:spacing w:after="160" w:line="240" w:lineRule="exact"/>
    </w:pPr>
    <w:rPr>
      <w:rFonts w:ascii="Verdana" w:eastAsia="Times" w:hAnsi="Verdana" w:cs="Times New Roman"/>
      <w:sz w:val="20"/>
      <w:szCs w:val="20"/>
      <w:lang w:val="en-US"/>
    </w:rPr>
  </w:style>
  <w:style w:type="paragraph" w:customStyle="1" w:styleId="AFMAstandardCharCharChar">
    <w:name w:val="AFMA standard Char Char Char"/>
    <w:link w:val="AFMAstandardCharCharCharChar"/>
    <w:rsid w:val="00C72036"/>
    <w:pPr>
      <w:tabs>
        <w:tab w:val="left" w:pos="284"/>
        <w:tab w:val="left" w:pos="567"/>
        <w:tab w:val="left" w:pos="851"/>
      </w:tabs>
      <w:spacing w:after="120" w:line="240" w:lineRule="auto"/>
      <w:jc w:val="both"/>
    </w:pPr>
    <w:rPr>
      <w:rFonts w:ascii="Arial" w:eastAsia="Times" w:hAnsi="Arial" w:cs="Times New Roman"/>
      <w:szCs w:val="20"/>
    </w:rPr>
  </w:style>
  <w:style w:type="character" w:customStyle="1" w:styleId="AFMAstandardCharCharCharChar">
    <w:name w:val="AFMA standard Char Char Char Char"/>
    <w:link w:val="AFMAstandardCharCharChar"/>
    <w:rsid w:val="00C72036"/>
    <w:rPr>
      <w:rFonts w:ascii="Arial" w:eastAsia="Times" w:hAnsi="Arial" w:cs="Times New Roman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F6E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6E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har1">
    <w:name w:val="Char1"/>
    <w:basedOn w:val="Normal"/>
    <w:rsid w:val="00883D82"/>
    <w:pPr>
      <w:spacing w:after="160" w:line="240" w:lineRule="exact"/>
    </w:pPr>
    <w:rPr>
      <w:rFonts w:ascii="Verdana" w:eastAsia="Times" w:hAnsi="Verdana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A08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8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89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8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896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A0896"/>
    <w:pPr>
      <w:spacing w:after="0" w:line="240" w:lineRule="auto"/>
    </w:pPr>
    <w:rPr>
      <w:rFonts w:ascii="Arial" w:hAnsi="Arial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40EF7"/>
    <w:pPr>
      <w:spacing w:before="0"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0EF7"/>
    <w:rPr>
      <w:rFonts w:ascii="Lucida Grande" w:hAnsi="Lucida Grande" w:cs="Lucida Grande"/>
      <w:sz w:val="24"/>
      <w:szCs w:val="24"/>
    </w:rPr>
  </w:style>
  <w:style w:type="paragraph" w:customStyle="1" w:styleId="Figurecaptiontext">
    <w:name w:val="Figure caption text"/>
    <w:autoRedefine/>
    <w:qFormat/>
    <w:rsid w:val="00827168"/>
    <w:pPr>
      <w:keepNext/>
      <w:spacing w:before="120" w:after="120" w:line="300" w:lineRule="atLeast"/>
    </w:pPr>
    <w:rPr>
      <w:rFonts w:ascii="Arial" w:hAnsi="Arial" w:cs="Arial"/>
    </w:rPr>
  </w:style>
  <w:style w:type="paragraph" w:customStyle="1" w:styleId="Default">
    <w:name w:val="Default"/>
    <w:rsid w:val="002C450E"/>
    <w:pPr>
      <w:autoSpaceDE w:val="0"/>
      <w:autoSpaceDN w:val="0"/>
      <w:adjustRightInd w:val="0"/>
      <w:spacing w:after="0" w:line="240" w:lineRule="auto"/>
    </w:pPr>
    <w:rPr>
      <w:rFonts w:ascii="MetaPro-Bold" w:hAnsi="MetaPro-Bold" w:cs="MetaPro-Bold"/>
      <w:color w:val="000000"/>
      <w:sz w:val="24"/>
      <w:szCs w:val="24"/>
    </w:rPr>
  </w:style>
  <w:style w:type="paragraph" w:customStyle="1" w:styleId="CM31">
    <w:name w:val="CM31"/>
    <w:basedOn w:val="Default"/>
    <w:next w:val="Default"/>
    <w:uiPriority w:val="99"/>
    <w:rsid w:val="002C450E"/>
    <w:rPr>
      <w:rFonts w:cstheme="minorBidi"/>
      <w:color w:val="auto"/>
    </w:rPr>
  </w:style>
  <w:style w:type="paragraph" w:styleId="BodyText">
    <w:name w:val="Body Text"/>
    <w:basedOn w:val="Normal"/>
    <w:link w:val="BodyTextChar"/>
    <w:rsid w:val="00E62E04"/>
    <w:pPr>
      <w:spacing w:before="0" w:line="300" w:lineRule="atLeast"/>
    </w:pPr>
    <w:rPr>
      <w:rFonts w:ascii="Cambria" w:eastAsia="Times New Roman" w:hAnsi="Cambria" w:cs="Arial"/>
      <w:sz w:val="22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E62E04"/>
    <w:rPr>
      <w:rFonts w:ascii="Cambria" w:eastAsia="Times New Roman" w:hAnsi="Cambria" w:cs="Arial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fma.gov.au" TargetMode="External"/><Relationship Id="rId1" Type="http://schemas.openxmlformats.org/officeDocument/2006/relationships/hyperlink" Target="http://www.afm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0217E-3393-4523-9F3C-D1C74A1A8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Fisheries Management Authority</Company>
  <LinksUpToDate>false</LinksUpToDate>
  <CharactersWithSpaces>11032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wsadmin</dc:creator>
  <cp:keywords/>
  <dc:description/>
  <cp:lastModifiedBy>TRAPPETT, Andrew</cp:lastModifiedBy>
  <cp:revision>2</cp:revision>
  <cp:lastPrinted>2017-02-07T01:03:00Z</cp:lastPrinted>
  <dcterms:created xsi:type="dcterms:W3CDTF">2017-10-31T06:17:00Z</dcterms:created>
  <dcterms:modified xsi:type="dcterms:W3CDTF">2017-10-31T06:17:00Z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73ab248b-bed2-4e53-a1e0-213c42554276</vt:lpwstr>
  </property>
</Properties>
</file>